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D2" w:rsidRDefault="00482AD2" w:rsidP="00BB2846">
      <w:pPr>
        <w:ind w:left="10206"/>
        <w:jc w:val="center"/>
        <w:rPr>
          <w:sz w:val="28"/>
          <w:szCs w:val="28"/>
        </w:rPr>
      </w:pPr>
    </w:p>
    <w:p w:rsidR="005B1FEA" w:rsidRPr="00B94251" w:rsidRDefault="00482AD2" w:rsidP="005B1FEA">
      <w:pPr>
        <w:jc w:val="center"/>
        <w:rPr>
          <w:b/>
          <w:bCs/>
          <w:sz w:val="28"/>
          <w:szCs w:val="28"/>
        </w:rPr>
      </w:pPr>
      <w:r w:rsidRPr="00B94251">
        <w:rPr>
          <w:b/>
          <w:bCs/>
          <w:sz w:val="28"/>
          <w:szCs w:val="28"/>
        </w:rPr>
        <w:t xml:space="preserve">Детальный план реализации </w:t>
      </w:r>
    </w:p>
    <w:p w:rsidR="00AD3637" w:rsidRDefault="00AD3637" w:rsidP="00896D01">
      <w:pPr>
        <w:jc w:val="center"/>
        <w:rPr>
          <w:b/>
          <w:bCs/>
          <w:sz w:val="28"/>
          <w:szCs w:val="28"/>
        </w:rPr>
      </w:pPr>
      <w:r w:rsidRPr="00AD3637">
        <w:rPr>
          <w:b/>
          <w:bCs/>
          <w:sz w:val="28"/>
          <w:szCs w:val="28"/>
        </w:rPr>
        <w:t>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за счет средств областного бюджета на 2021 год по мероприятиям, реализуемым комитетом по развитию малого, среднего бизнеса и потребительского рынка Ленинградской области</w:t>
      </w:r>
    </w:p>
    <w:p w:rsidR="00761E07" w:rsidRDefault="00761E07" w:rsidP="00AD3637">
      <w:pPr>
        <w:jc w:val="both"/>
        <w:rPr>
          <w:sz w:val="22"/>
          <w:szCs w:val="22"/>
          <w:vertAlign w:val="superscript"/>
        </w:rPr>
      </w:pPr>
    </w:p>
    <w:tbl>
      <w:tblPr>
        <w:tblW w:w="149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969"/>
        <w:gridCol w:w="3828"/>
        <w:gridCol w:w="1190"/>
        <w:gridCol w:w="1190"/>
        <w:gridCol w:w="1586"/>
        <w:gridCol w:w="1486"/>
      </w:tblGrid>
      <w:tr w:rsidR="00954F9C" w:rsidTr="00954F9C">
        <w:trPr>
          <w:trHeight w:val="900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 п/п </w:t>
            </w:r>
            <w:r w:rsidR="008373BD" w:rsidRPr="00E47643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9" w:type="dxa"/>
            <w:vMerge w:val="restart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проекта, основного мероприятия, мероприятия основного мероприятия  </w:t>
            </w:r>
          </w:p>
        </w:tc>
        <w:tc>
          <w:tcPr>
            <w:tcW w:w="3828" w:type="dxa"/>
            <w:vMerge w:val="restart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 реализации мероприятия на 2021 год 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начала реализации  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окончания реализации  </w:t>
            </w:r>
          </w:p>
        </w:tc>
        <w:tc>
          <w:tcPr>
            <w:tcW w:w="3072" w:type="dxa"/>
            <w:gridSpan w:val="2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Объем     бюджетных ассигнований,  тыс. руб.   </w:t>
            </w:r>
          </w:p>
        </w:tc>
      </w:tr>
      <w:tr w:rsidR="00954F9C" w:rsidTr="00954F9C">
        <w:trPr>
          <w:trHeight w:val="510"/>
        </w:trPr>
        <w:tc>
          <w:tcPr>
            <w:tcW w:w="716" w:type="dxa"/>
            <w:vMerge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vMerge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86" w:type="dxa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 числе на 2021 год</w:t>
            </w:r>
          </w:p>
        </w:tc>
      </w:tr>
      <w:tr w:rsidR="00954F9C" w:rsidTr="00954F9C">
        <w:trPr>
          <w:trHeight w:val="360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6" w:type="dxa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4F9C" w:rsidTr="00954F9C">
        <w:trPr>
          <w:trHeight w:val="510"/>
        </w:trPr>
        <w:tc>
          <w:tcPr>
            <w:tcW w:w="13479" w:type="dxa"/>
            <w:gridSpan w:val="6"/>
            <w:shd w:val="clear" w:color="000000" w:fill="FFFFFF"/>
            <w:vAlign w:val="center"/>
            <w:hideMark/>
          </w:tcPr>
          <w:p w:rsidR="00954F9C" w:rsidRDefault="00954F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4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954F9C">
        <w:trPr>
          <w:trHeight w:val="1078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административных барьеров, избыточного контроля и регулирования, легализация «теневого» сектора малого и среднего предпринимательства 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составит 34,9 ед.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954F9C">
        <w:trPr>
          <w:trHeight w:val="967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Координационного совета по вопросам развития малого и среднего предпринимательства при Губернаторе Ленинградской области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не менее 2 заседаний 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954F9C">
        <w:trPr>
          <w:trHeight w:val="554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 анализ, формирование отчетов об осуществлении государственного контроля (надзора)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не реже 2 раз в год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954F9C">
        <w:trPr>
          <w:trHeight w:val="121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повышению правовой грамотности субъектов малого и среднего предпринимательства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10 публичных обсуждений результатов правоприменительной практики представителями контрольно-надзорных органов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954F9C">
        <w:trPr>
          <w:trHeight w:val="1412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составит 20,4 проц.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41 882,9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5564,7</w:t>
            </w:r>
          </w:p>
        </w:tc>
      </w:tr>
      <w:tr w:rsidR="00954F9C" w:rsidTr="00954F9C">
        <w:trPr>
          <w:trHeight w:val="836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повышению качества продукции и услуг субъектов малого и среднего предпринимательства, обеспечению их соответствия техническим регламентам и стандартам (национальным и международным)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Союзом «Ленинградская областная торгово-промышленная палата» семинара по  новому порядку регистрации декларации о соответствии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954F9C">
        <w:trPr>
          <w:trHeight w:val="1236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"Мониторинг СЭР МО") 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сведений о деятельности субъектов малого и среднего предпринимательства и потребительского рынка  в ИАС "Мониторинг СЭР МО"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5 049,0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</w:tr>
      <w:tr w:rsidR="00954F9C" w:rsidTr="00954F9C">
        <w:trPr>
          <w:trHeight w:val="1126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органам местного самоуправления по организации мониторинга деятельности субъектов малого и среднего предпринимательства (субсидии бюджетам муниципальных образований)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в ИАС "Мониторинг СЭР МО" не менее 13915 отчетов о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36 833,9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4970,7</w:t>
            </w:r>
          </w:p>
        </w:tc>
      </w:tr>
      <w:tr w:rsidR="00954F9C" w:rsidTr="00954F9C">
        <w:trPr>
          <w:trHeight w:val="958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кадров для малого и среднего предпринимательства и популяризация предпринимательской деятельности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самозанятых, составит 264,3 тыс. человек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139 429,9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17197,5</w:t>
            </w:r>
          </w:p>
        </w:tc>
      </w:tr>
      <w:tr w:rsidR="00954F9C" w:rsidTr="00DC5B16">
        <w:trPr>
          <w:trHeight w:val="1979"/>
        </w:trPr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в рамках информационной кампании, популяризирующей ведение предпринимательской деятельности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не менее 3 лучших предпринимателей и представление их к награждению почетным знаком Губернатора Ленинградской области "Почетный предприниматель Ленинградской области" (приобретение нагрудных знаков и не менее 3 единиц удостоверений)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12 921,1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954F9C" w:rsidTr="00DC5B16">
        <w:trPr>
          <w:trHeight w:val="688"/>
        </w:trPr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грантов субъектам малого и среднего предпринимательства на возмещение части затрат, связанных с реализацией </w:t>
            </w:r>
            <w:proofErr w:type="gramStart"/>
            <w:r>
              <w:rPr>
                <w:sz w:val="20"/>
                <w:szCs w:val="20"/>
              </w:rPr>
              <w:t>бизнес-проектов</w:t>
            </w:r>
            <w:proofErr w:type="gramEnd"/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в форме субсидий не менее чем 3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15 910,8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2040,8</w:t>
            </w:r>
          </w:p>
        </w:tc>
      </w:tr>
      <w:tr w:rsidR="00954F9C" w:rsidTr="00DC5B16">
        <w:trPr>
          <w:trHeight w:val="557"/>
        </w:trPr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в предпринимательскую деятельность представителей отдельных групп населения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DC5B16">
        <w:trPr>
          <w:trHeight w:val="706"/>
        </w:trPr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представителей малого и среднего предпринимательства по программам </w:t>
            </w:r>
            <w:proofErr w:type="gramStart"/>
            <w:r>
              <w:rPr>
                <w:sz w:val="20"/>
                <w:szCs w:val="20"/>
              </w:rPr>
              <w:t>бизнес-акселерации</w:t>
            </w:r>
            <w:proofErr w:type="gramEnd"/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не менее одной программы с участием не менее 50 субъектов малого и среднего предпринимательства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</w:tr>
      <w:tr w:rsidR="00954F9C" w:rsidTr="00DC5B16">
        <w:trPr>
          <w:trHeight w:val="1412"/>
        </w:trPr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3.3.6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в форме субсидий по итогам ежегодного конкурса "</w:t>
            </w:r>
            <w:proofErr w:type="gramStart"/>
            <w:r>
              <w:rPr>
                <w:sz w:val="20"/>
                <w:szCs w:val="20"/>
              </w:rPr>
              <w:t>Лучший</w:t>
            </w:r>
            <w:proofErr w:type="gramEnd"/>
            <w:r>
              <w:rPr>
                <w:sz w:val="20"/>
                <w:szCs w:val="20"/>
              </w:rPr>
              <w:t xml:space="preserve"> по профессии в сфере потребительского рынка"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грантов в форме субсидий не менее чем 18 представителям субъектов предпринимательства, признанным лучшими по профессиям в сфере потребительского рынка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8 698,0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1092,0</w:t>
            </w:r>
          </w:p>
        </w:tc>
      </w:tr>
      <w:tr w:rsidR="00954F9C" w:rsidTr="00DC5B16">
        <w:trPr>
          <w:trHeight w:val="1120"/>
        </w:trPr>
        <w:tc>
          <w:tcPr>
            <w:tcW w:w="716" w:type="dxa"/>
            <w:shd w:val="clear" w:color="000000" w:fill="FFFFFF"/>
            <w:noWrap/>
            <w:hideMark/>
          </w:tcPr>
          <w:p w:rsidR="00954F9C" w:rsidRDefault="0095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рыночных ниш для малого и среднего предпринимательства и развитие конкуренции на локальных рынках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составит 34,9 ед.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803 503,9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128118,1</w:t>
            </w:r>
          </w:p>
        </w:tc>
      </w:tr>
      <w:tr w:rsidR="00954F9C" w:rsidTr="00DC5B16">
        <w:trPr>
          <w:trHeight w:val="669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малоформатной торговли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не менее 2 субъектам малого, среднего бизнеса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19 775,2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1401,7</w:t>
            </w:r>
          </w:p>
        </w:tc>
      </w:tr>
      <w:tr w:rsidR="00954F9C" w:rsidTr="00DC5B16">
        <w:trPr>
          <w:trHeight w:val="678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сертификацию продукции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20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954F9C" w:rsidTr="00DC5B16">
        <w:trPr>
          <w:trHeight w:val="972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3.4.5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не менее 25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70 681,0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9225,8</w:t>
            </w:r>
          </w:p>
        </w:tc>
      </w:tr>
      <w:tr w:rsidR="00954F9C" w:rsidTr="00DC5B16">
        <w:trPr>
          <w:trHeight w:val="703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3.4.6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туризма, в том числе сельского туризма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11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</w:tr>
      <w:tr w:rsidR="00954F9C" w:rsidTr="00DC5B16">
        <w:trPr>
          <w:trHeight w:val="543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3.4.8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торговли на розничных рынках, ярмарках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не менее 3 организациям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24 690,6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1990,6</w:t>
            </w:r>
          </w:p>
        </w:tc>
      </w:tr>
      <w:tr w:rsidR="00954F9C" w:rsidTr="00DC5B16">
        <w:trPr>
          <w:trHeight w:val="706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3.4.9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торговой деятельности в отдаленных и труднодоступных местностях (субсидии бюджетам муниципальных образований)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не менее 9 организациям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90 365,0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</w:tc>
      </w:tr>
      <w:tr w:rsidR="00954F9C" w:rsidTr="00DC5B16">
        <w:trPr>
          <w:trHeight w:val="702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3.4.10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магазинов шаговой доступности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не менее 16 организациям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319 600,0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</w:tc>
      </w:tr>
      <w:tr w:rsidR="00954F9C" w:rsidTr="00DC5B16">
        <w:trPr>
          <w:trHeight w:val="699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3.4.11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конкурентоспособности субъектов малого и среднего предпринимательства через участие в выставочно-ярмарочных мероприятиях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16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</w:tr>
      <w:tr w:rsidR="00954F9C" w:rsidTr="00DC5B16">
        <w:trPr>
          <w:trHeight w:val="1120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3.4.13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субъектов малого и среднего предпринимательства, осуществляющих деятельность в отраслях, в наибольшей степени пострадавших в связи с ухудшением ситуации в результате распространения новой коронавирусной инфекции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130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28500,0</w:t>
            </w:r>
          </w:p>
        </w:tc>
      </w:tr>
      <w:tr w:rsidR="00954F9C" w:rsidTr="00DC5B16">
        <w:trPr>
          <w:trHeight w:val="1696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доступа субъектов малого и среднего предпринимательства к закупкам крупного бизнеса, государственным и муниципальным закупкам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закупок товаров, работ, услуг, осуществляемых у субъектов малого и среднего предпринимательства отдельными видами юридических лиц – конкретными заказчиками регионального уровня, в совокупном объеме закупок, составит 37 проц.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DC5B16">
        <w:trPr>
          <w:trHeight w:val="1254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к закупкам крупных компаний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 годового отчета о закупке товаров, работ, услуг отдельными видами юридических лиц у субъектов малого и среднего  предпринимательства  регионального уровня     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DC5B16">
        <w:trPr>
          <w:trHeight w:val="691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к государственным и муниципальным закупкам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выполнения распоряжения Правительства Ленинградской области от 29.09.2016 № 750-р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DC5B16">
        <w:trPr>
          <w:trHeight w:val="701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выстраиванию производственных цепочек между крупным бизнесом и субъектами малого и среднего предпринимательства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4 встреч крупного бизнеса с субъектами малого и среднего предпринимательства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DC5B16">
        <w:trPr>
          <w:trHeight w:val="1405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информационно-консультационной поддержки субъектам малого и среднего предпринимательства в целях стимулирования их развития в качестве поставщиков при осуществлении закупок крупных компаний, государственных и муниципальных закупок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Оказана поддержка не менее 10 субъектам МСП в рамках мероприятий по "выращиванию" поставщиков субъектов МСП в целях их потенциального участия в закупках товаров, работ, услуг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DC5B16">
        <w:trPr>
          <w:trHeight w:val="2971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развитие субъектов малого и среднего предпринимательства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 составит 23,7%, оборот субъектов малого и среднего предпринимательства в постоянных ценах по отношению к показателю 2014 года составит 128,4%, 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 составит 24,3%</w:t>
            </w:r>
            <w:proofErr w:type="gramEnd"/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629 180,8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134688,0</w:t>
            </w:r>
          </w:p>
        </w:tc>
      </w:tr>
      <w:tr w:rsidR="00954F9C" w:rsidTr="00DC5B16">
        <w:trPr>
          <w:trHeight w:val="674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 поддержка субъектов малого и среднего предпринимательства, реализующих программы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DC5B16">
        <w:trPr>
          <w:trHeight w:val="70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модернизацию производства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поддержки не менее 62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440 464,9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64417,8</w:t>
            </w:r>
          </w:p>
        </w:tc>
      </w:tr>
      <w:tr w:rsidR="00954F9C" w:rsidTr="00954F9C">
        <w:trPr>
          <w:trHeight w:val="231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3.6.4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органам местного самоуправления для софинансирования мероприятий по поддержке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 (субсидии бюджета муниципальных образований)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поддержки 1 субъекту 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188 450,0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70270,2</w:t>
            </w:r>
          </w:p>
        </w:tc>
      </w:tr>
      <w:tr w:rsidR="00954F9C" w:rsidTr="008373BD">
        <w:trPr>
          <w:trHeight w:val="348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доступности финансирования для субъектов малого и среднего предпринимательства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 w:rsidP="008373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Доля кредитов субъектам малого и среднего предпринимательства в общем кредитном портфеле юридических лиц и индивидуальных предпринимателей составит 23%, 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монопрофильных</w:t>
            </w:r>
            <w:proofErr w:type="spellEnd"/>
            <w:r>
              <w:rPr>
                <w:sz w:val="20"/>
                <w:szCs w:val="20"/>
              </w:rPr>
              <w:t xml:space="preserve"> муниципальных образованиях Ленинградской области, в общем объеме финансового обеспечения государственной поддержки малого и среднего предпринимательства за счет средств бюджетов всех уровней составит 10% </w:t>
            </w:r>
            <w:proofErr w:type="gramEnd"/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1 112 846,6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162279,2</w:t>
            </w:r>
          </w:p>
        </w:tc>
      </w:tr>
      <w:tr w:rsidR="00954F9C" w:rsidTr="008373BD">
        <w:trPr>
          <w:trHeight w:val="701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привлекающих кредитные ресурсы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55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330 927,6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</w:t>
            </w:r>
          </w:p>
        </w:tc>
      </w:tr>
      <w:tr w:rsidR="00954F9C" w:rsidTr="008373BD">
        <w:trPr>
          <w:trHeight w:val="697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проектов на начальной (посевной) стадии (субсидии бюджетам муниципальных образований)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поддержки не менее 56 субъектам 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199 992,7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29479,2</w:t>
            </w:r>
          </w:p>
        </w:tc>
      </w:tr>
      <w:tr w:rsidR="00954F9C" w:rsidTr="008373BD">
        <w:trPr>
          <w:trHeight w:val="565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рыночных инструментов поддержки субъектов малого и среднего предпринимательства (</w:t>
            </w:r>
            <w:proofErr w:type="spellStart"/>
            <w:r>
              <w:rPr>
                <w:sz w:val="20"/>
                <w:szCs w:val="20"/>
              </w:rPr>
              <w:t>микрозаймы</w:t>
            </w:r>
            <w:proofErr w:type="spellEnd"/>
            <w:r>
              <w:rPr>
                <w:sz w:val="20"/>
                <w:szCs w:val="20"/>
              </w:rPr>
              <w:t xml:space="preserve"> и поручительства)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9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954F9C" w:rsidTr="008373BD">
        <w:trPr>
          <w:trHeight w:val="702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3.7.5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лизинговой поддержки субъектов малого и среднего предпринимательства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100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</w:tr>
      <w:tr w:rsidR="00954F9C" w:rsidTr="00954F9C">
        <w:trPr>
          <w:trHeight w:val="1080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3.7.6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органам местного самоуправления для софинансирования текущей деятельности </w:t>
            </w:r>
            <w:proofErr w:type="gramStart"/>
            <w:r>
              <w:rPr>
                <w:sz w:val="20"/>
                <w:szCs w:val="20"/>
              </w:rPr>
              <w:t>бизнес-инкубаторов</w:t>
            </w:r>
            <w:proofErr w:type="gramEnd"/>
            <w:r>
              <w:rPr>
                <w:sz w:val="20"/>
                <w:szCs w:val="20"/>
              </w:rPr>
              <w:t xml:space="preserve"> в моногородах (субсидии бюджетам муниципальных образований)  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одному муниципальному образованию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954F9C" w:rsidTr="008373BD">
        <w:trPr>
          <w:trHeight w:val="845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3.7.7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органам местного самоуправления по поддержке и развитию субъектов малого и среднего предпринимательства в моногородах (субсидии бюджета муниципальных образований)    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34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156 766,0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23800,0</w:t>
            </w:r>
          </w:p>
        </w:tc>
      </w:tr>
      <w:tr w:rsidR="00954F9C" w:rsidTr="008373BD">
        <w:trPr>
          <w:trHeight w:val="1837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Инфраструктурная поддержка субъектов малого и среднего предпринимательства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 составит 90%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928 348,2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147761,6</w:t>
            </w:r>
          </w:p>
        </w:tc>
      </w:tr>
      <w:tr w:rsidR="00954F9C" w:rsidTr="008373BD">
        <w:trPr>
          <w:trHeight w:val="971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3.8.1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ГКУ "ЛОЦПП"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133 237,1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21428,0</w:t>
            </w:r>
          </w:p>
        </w:tc>
      </w:tr>
      <w:tr w:rsidR="00954F9C" w:rsidTr="008373BD">
        <w:trPr>
          <w:trHeight w:val="700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3.8.2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организаций инфраструктуры поддержки малого и среднего предпринимательства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не менее 15 организациям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</w:tr>
      <w:tr w:rsidR="00954F9C" w:rsidTr="008373BD">
        <w:trPr>
          <w:trHeight w:val="710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3.8.3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продвижению услуг организаций инфраструктуры поддержки малого и среднего предпринимательства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свыше 20000 консультаций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954F9C" w:rsidTr="008373BD">
        <w:trPr>
          <w:trHeight w:val="693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3.8.4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"Фонда поддержки предпринимательства и промышленности Ленинградской области, микрокредитная компания"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Фонда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282 712,4</w:t>
            </w:r>
          </w:p>
        </w:tc>
        <w:tc>
          <w:tcPr>
            <w:tcW w:w="1486" w:type="dxa"/>
            <w:shd w:val="clear" w:color="000000" w:fill="FFFFFF"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</w:tr>
      <w:tr w:rsidR="00954F9C" w:rsidTr="008373BD">
        <w:trPr>
          <w:trHeight w:val="561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3.10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"Создание условий для легкого старта и комфортного ведения бизнеса"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193 292,1</w:t>
            </w:r>
          </w:p>
        </w:tc>
        <w:tc>
          <w:tcPr>
            <w:tcW w:w="14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12591,9</w:t>
            </w:r>
          </w:p>
        </w:tc>
      </w:tr>
      <w:tr w:rsidR="00954F9C" w:rsidTr="008373BD">
        <w:trPr>
          <w:trHeight w:val="980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3.10.3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финансовой поддержки в виде грантов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39 субъектам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31 103,7</w:t>
            </w:r>
          </w:p>
        </w:tc>
        <w:tc>
          <w:tcPr>
            <w:tcW w:w="14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</w:tr>
      <w:tr w:rsidR="00954F9C" w:rsidTr="008373BD">
        <w:trPr>
          <w:trHeight w:val="1122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3.10.4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комплекса услуг, сервисов и мер поддержки в Центре "Мой бизнес" гражданам, желающим вести бизнес, начинающим и действующим предпринимателям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уникальных граждан, желающих вести бизнес, начинающих и действующих предпринимателей, получивших услуги, составит не менее 1595 единиц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18 122,4</w:t>
            </w:r>
          </w:p>
        </w:tc>
        <w:tc>
          <w:tcPr>
            <w:tcW w:w="14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5991,9</w:t>
            </w:r>
          </w:p>
        </w:tc>
      </w:tr>
      <w:tr w:rsidR="00954F9C" w:rsidTr="008373BD">
        <w:trPr>
          <w:trHeight w:val="657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3.11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136 319,3</w:t>
            </w:r>
          </w:p>
        </w:tc>
        <w:tc>
          <w:tcPr>
            <w:tcW w:w="14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18492,4</w:t>
            </w:r>
          </w:p>
        </w:tc>
      </w:tr>
      <w:tr w:rsidR="00954F9C" w:rsidTr="008373BD">
        <w:trPr>
          <w:trHeight w:val="709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3.11.2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комплекса услуг, сервисов и мер поддержки в Центре "Мой бизнес" субъектам малого и среднего предпринимательств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МСП, получивших комплексные услуги составит не менее 876 ед.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73 652,6</w:t>
            </w:r>
          </w:p>
        </w:tc>
        <w:tc>
          <w:tcPr>
            <w:tcW w:w="14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5683,1</w:t>
            </w:r>
          </w:p>
        </w:tc>
      </w:tr>
      <w:tr w:rsidR="00954F9C" w:rsidTr="00954F9C">
        <w:trPr>
          <w:trHeight w:val="1050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3.11.3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(или) развитие региональных гарантийных организаций Ленинградской области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финансовой поддержки, оказанной субъектам МСП, при гарантийной поддержке РГО составит не менее  597,9161 млн. рублей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56 061,2</w:t>
            </w:r>
          </w:p>
        </w:tc>
        <w:tc>
          <w:tcPr>
            <w:tcW w:w="14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12809,3</w:t>
            </w:r>
          </w:p>
        </w:tc>
      </w:tr>
      <w:tr w:rsidR="00954F9C" w:rsidTr="008373BD">
        <w:trPr>
          <w:trHeight w:val="703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3.11.4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(или) развитие региональных микрофинансовых организаций Ленинградской области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действующих микрозаймов, выданных МФО, составит не менее 762 ед.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4F9C" w:rsidTr="008373BD">
        <w:trPr>
          <w:trHeight w:val="1110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3.14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конкурентных способов оказания услуг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- 34,9 единиц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1 198 322,9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436574,0</w:t>
            </w:r>
          </w:p>
        </w:tc>
      </w:tr>
      <w:tr w:rsidR="00954F9C" w:rsidTr="008373BD">
        <w:trPr>
          <w:trHeight w:val="1240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3.14.1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Развитие и поддержка юридических лиц (за исключением государственных (муниципальных) учреждений, индивидуальных предпринимателей, осуществляющих деятельность в сфере дошкольного образования</w:t>
            </w:r>
            <w:proofErr w:type="gramEnd"/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не менее 19 организациям за 12 месяцев 2021 года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1 098 322,9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406574,0</w:t>
            </w:r>
          </w:p>
        </w:tc>
      </w:tr>
      <w:tr w:rsidR="00954F9C" w:rsidTr="008373BD">
        <w:trPr>
          <w:trHeight w:val="846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3.14.2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70 субъектам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</w:tr>
      <w:tr w:rsidR="00954F9C" w:rsidTr="00954F9C">
        <w:trPr>
          <w:trHeight w:val="1365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самозанятых граждан, зафиксировавших  и применяющих свой статус, с учетом введения налогового режима для самозанятых, составит 20,4 тыс. человек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12 331,4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2614,3</w:t>
            </w:r>
          </w:p>
        </w:tc>
      </w:tr>
      <w:tr w:rsidR="00954F9C" w:rsidTr="00954F9C">
        <w:trPr>
          <w:trHeight w:val="1095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3.16.1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954F9C" w:rsidRDefault="00954F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комплекса услуг, сервисов и мер поддержки самозанятым гражданам в Центре "Мой бизнес"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самозанятых граждан, получивших услуги, в том числе прошедших программы обучения, составит не менее  190 человек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12 331,4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2614,3</w:t>
            </w:r>
          </w:p>
        </w:tc>
      </w:tr>
      <w:tr w:rsidR="00954F9C" w:rsidTr="00954F9C">
        <w:trPr>
          <w:trHeight w:val="390"/>
        </w:trPr>
        <w:tc>
          <w:tcPr>
            <w:tcW w:w="716" w:type="dxa"/>
            <w:shd w:val="clear" w:color="000000" w:fill="FFFFFF"/>
            <w:hideMark/>
          </w:tcPr>
          <w:p w:rsidR="00954F9C" w:rsidRDefault="0095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9" w:type="dxa"/>
            <w:shd w:val="clear" w:color="000000" w:fill="FFFFFF"/>
            <w:hideMark/>
          </w:tcPr>
          <w:p w:rsidR="00954F9C" w:rsidRDefault="00954F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подпрограмме: </w:t>
            </w:r>
          </w:p>
        </w:tc>
        <w:tc>
          <w:tcPr>
            <w:tcW w:w="3828" w:type="dxa"/>
            <w:shd w:val="clear" w:color="000000" w:fill="FFFFFF"/>
            <w:hideMark/>
          </w:tcPr>
          <w:p w:rsidR="00954F9C" w:rsidRDefault="00954F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000000" w:fill="FFFFFF"/>
            <w:noWrap/>
            <w:hideMark/>
          </w:tcPr>
          <w:p w:rsidR="00954F9C" w:rsidRDefault="00954F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4 887 790,8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4F9C" w:rsidRDefault="00954F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1004548,2</w:t>
            </w:r>
          </w:p>
        </w:tc>
      </w:tr>
    </w:tbl>
    <w:p w:rsidR="00B66B40" w:rsidRDefault="00B66B40" w:rsidP="00AD3637">
      <w:pPr>
        <w:jc w:val="both"/>
        <w:rPr>
          <w:sz w:val="22"/>
          <w:szCs w:val="22"/>
          <w:vertAlign w:val="superscript"/>
        </w:rPr>
      </w:pPr>
    </w:p>
    <w:p w:rsidR="00B66B40" w:rsidRDefault="00B66B40" w:rsidP="00AD3637">
      <w:pPr>
        <w:jc w:val="both"/>
        <w:rPr>
          <w:sz w:val="22"/>
          <w:szCs w:val="22"/>
          <w:vertAlign w:val="superscript"/>
        </w:rPr>
      </w:pPr>
    </w:p>
    <w:p w:rsidR="00B66B40" w:rsidRDefault="00B66B40" w:rsidP="00AD3637">
      <w:pPr>
        <w:jc w:val="both"/>
        <w:rPr>
          <w:sz w:val="22"/>
          <w:szCs w:val="22"/>
          <w:vertAlign w:val="superscript"/>
        </w:rPr>
      </w:pPr>
    </w:p>
    <w:p w:rsidR="00B66B40" w:rsidRDefault="00B66B40" w:rsidP="00AD3637">
      <w:pPr>
        <w:jc w:val="both"/>
        <w:rPr>
          <w:sz w:val="22"/>
          <w:szCs w:val="22"/>
          <w:vertAlign w:val="superscript"/>
        </w:rPr>
      </w:pPr>
    </w:p>
    <w:p w:rsidR="00AD3637" w:rsidRDefault="00AD3637" w:rsidP="00AD3637">
      <w:pPr>
        <w:jc w:val="both"/>
        <w:rPr>
          <w:sz w:val="28"/>
          <w:szCs w:val="28"/>
        </w:rPr>
      </w:pPr>
      <w:r w:rsidRPr="00E47643">
        <w:rPr>
          <w:sz w:val="22"/>
          <w:szCs w:val="22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E47643">
        <w:rPr>
          <w:sz w:val="20"/>
          <w:szCs w:val="20"/>
        </w:rPr>
        <w:t xml:space="preserve">Нумерация пунктов мероприятий соответствует нумерации </w:t>
      </w:r>
      <w:proofErr w:type="gramStart"/>
      <w:r w:rsidRPr="00E47643">
        <w:rPr>
          <w:sz w:val="20"/>
          <w:szCs w:val="20"/>
        </w:rPr>
        <w:t>пунктов мероприятий сводного детального плана реализации государственной программы Ленинградской</w:t>
      </w:r>
      <w:proofErr w:type="gramEnd"/>
      <w:r w:rsidRPr="00E47643">
        <w:rPr>
          <w:sz w:val="20"/>
          <w:szCs w:val="20"/>
        </w:rPr>
        <w:t xml:space="preserve"> области «Стимулирование экономической активности Ленинградской области» за счет средств областного бюджета на 20</w:t>
      </w:r>
      <w:r>
        <w:rPr>
          <w:sz w:val="20"/>
          <w:szCs w:val="20"/>
        </w:rPr>
        <w:t>21</w:t>
      </w:r>
      <w:r w:rsidRPr="00E47643">
        <w:rPr>
          <w:sz w:val="20"/>
          <w:szCs w:val="20"/>
        </w:rPr>
        <w:t xml:space="preserve"> год, утвержденного заместителем Председателя Правительства Ленинградского области – председателем комитета экономического развития и инвестиционной деятельности от </w:t>
      </w:r>
      <w:r>
        <w:rPr>
          <w:sz w:val="20"/>
          <w:szCs w:val="20"/>
        </w:rPr>
        <w:t xml:space="preserve">11 </w:t>
      </w:r>
      <w:r w:rsidR="00167EBB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2021</w:t>
      </w:r>
      <w:r w:rsidRPr="00E47643">
        <w:rPr>
          <w:sz w:val="20"/>
          <w:szCs w:val="20"/>
        </w:rPr>
        <w:t xml:space="preserve"> года</w:t>
      </w:r>
      <w:r w:rsidRPr="00E81825">
        <w:t xml:space="preserve">  </w:t>
      </w:r>
    </w:p>
    <w:sectPr w:rsidR="00AD3637" w:rsidSect="00B94251">
      <w:headerReference w:type="even" r:id="rId9"/>
      <w:headerReference w:type="default" r:id="rId10"/>
      <w:endnotePr>
        <w:numFmt w:val="decimal"/>
      </w:endnotePr>
      <w:pgSz w:w="16838" w:h="11906" w:orient="landscape"/>
      <w:pgMar w:top="709" w:right="567" w:bottom="426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B1" w:rsidRDefault="004C33B1">
      <w:r>
        <w:separator/>
      </w:r>
    </w:p>
  </w:endnote>
  <w:endnote w:type="continuationSeparator" w:id="0">
    <w:p w:rsidR="004C33B1" w:rsidRDefault="004C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B1" w:rsidRDefault="004C33B1">
      <w:r>
        <w:separator/>
      </w:r>
    </w:p>
  </w:footnote>
  <w:footnote w:type="continuationSeparator" w:id="0">
    <w:p w:rsidR="004C33B1" w:rsidRDefault="004C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40" w:rsidRDefault="00B66B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6B40" w:rsidRDefault="00B66B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40" w:rsidRDefault="00B66B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020"/>
    <w:multiLevelType w:val="hybridMultilevel"/>
    <w:tmpl w:val="5A3C3322"/>
    <w:lvl w:ilvl="0" w:tplc="CF0ED3A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07B"/>
    <w:multiLevelType w:val="hybridMultilevel"/>
    <w:tmpl w:val="DC16ED8A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8A7"/>
    <w:multiLevelType w:val="hybridMultilevel"/>
    <w:tmpl w:val="7D524CBC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6F07"/>
    <w:multiLevelType w:val="hybridMultilevel"/>
    <w:tmpl w:val="498C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71A4"/>
    <w:multiLevelType w:val="hybridMultilevel"/>
    <w:tmpl w:val="F51CC23C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0CEE"/>
    <w:multiLevelType w:val="multilevel"/>
    <w:tmpl w:val="F6FCA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C2C142A"/>
    <w:multiLevelType w:val="hybridMultilevel"/>
    <w:tmpl w:val="A04C1026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657AE"/>
    <w:multiLevelType w:val="hybridMultilevel"/>
    <w:tmpl w:val="0888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5176"/>
    <w:multiLevelType w:val="hybridMultilevel"/>
    <w:tmpl w:val="71D80648"/>
    <w:lvl w:ilvl="0" w:tplc="F7FE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80DA9"/>
    <w:multiLevelType w:val="hybridMultilevel"/>
    <w:tmpl w:val="CA1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91AE4"/>
    <w:multiLevelType w:val="hybridMultilevel"/>
    <w:tmpl w:val="92EC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00BAD"/>
    <w:multiLevelType w:val="hybridMultilevel"/>
    <w:tmpl w:val="289A1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64D5"/>
    <w:rsid w:val="000107DE"/>
    <w:rsid w:val="00010D41"/>
    <w:rsid w:val="00012AEC"/>
    <w:rsid w:val="0002269B"/>
    <w:rsid w:val="000237DE"/>
    <w:rsid w:val="00033B86"/>
    <w:rsid w:val="0005152C"/>
    <w:rsid w:val="000805C5"/>
    <w:rsid w:val="00082076"/>
    <w:rsid w:val="000913C8"/>
    <w:rsid w:val="00092334"/>
    <w:rsid w:val="0009325F"/>
    <w:rsid w:val="0009719A"/>
    <w:rsid w:val="000A1248"/>
    <w:rsid w:val="000C06DF"/>
    <w:rsid w:val="000F1E80"/>
    <w:rsid w:val="00130F76"/>
    <w:rsid w:val="00132BFA"/>
    <w:rsid w:val="001356D4"/>
    <w:rsid w:val="001443A9"/>
    <w:rsid w:val="00146C90"/>
    <w:rsid w:val="001608D4"/>
    <w:rsid w:val="001662AB"/>
    <w:rsid w:val="00167EBB"/>
    <w:rsid w:val="0017014B"/>
    <w:rsid w:val="001829D8"/>
    <w:rsid w:val="001926E4"/>
    <w:rsid w:val="001A41F1"/>
    <w:rsid w:val="001D1995"/>
    <w:rsid w:val="001E6680"/>
    <w:rsid w:val="001F4A42"/>
    <w:rsid w:val="002009EB"/>
    <w:rsid w:val="00207025"/>
    <w:rsid w:val="00210977"/>
    <w:rsid w:val="0022184C"/>
    <w:rsid w:val="002368C5"/>
    <w:rsid w:val="00243FB5"/>
    <w:rsid w:val="002459C1"/>
    <w:rsid w:val="0024603B"/>
    <w:rsid w:val="00255343"/>
    <w:rsid w:val="0025602E"/>
    <w:rsid w:val="00271DA8"/>
    <w:rsid w:val="00293F8D"/>
    <w:rsid w:val="002B7DCB"/>
    <w:rsid w:val="002C574B"/>
    <w:rsid w:val="002C5DE8"/>
    <w:rsid w:val="002C7BEF"/>
    <w:rsid w:val="002D4E0F"/>
    <w:rsid w:val="002E2D67"/>
    <w:rsid w:val="002F4798"/>
    <w:rsid w:val="00300485"/>
    <w:rsid w:val="00303DFA"/>
    <w:rsid w:val="00335D98"/>
    <w:rsid w:val="00343551"/>
    <w:rsid w:val="00351C02"/>
    <w:rsid w:val="00356DDF"/>
    <w:rsid w:val="003621EC"/>
    <w:rsid w:val="00372B17"/>
    <w:rsid w:val="00373132"/>
    <w:rsid w:val="00383794"/>
    <w:rsid w:val="00383F0B"/>
    <w:rsid w:val="00384FE9"/>
    <w:rsid w:val="00396A15"/>
    <w:rsid w:val="003B463F"/>
    <w:rsid w:val="003B75DA"/>
    <w:rsid w:val="003C5FF4"/>
    <w:rsid w:val="003F02C2"/>
    <w:rsid w:val="00401154"/>
    <w:rsid w:val="00410968"/>
    <w:rsid w:val="00437555"/>
    <w:rsid w:val="00440AC6"/>
    <w:rsid w:val="00441891"/>
    <w:rsid w:val="00456F87"/>
    <w:rsid w:val="00474E4C"/>
    <w:rsid w:val="00481A77"/>
    <w:rsid w:val="00482AD2"/>
    <w:rsid w:val="00483D67"/>
    <w:rsid w:val="004A0DFE"/>
    <w:rsid w:val="004C23B7"/>
    <w:rsid w:val="004C33B1"/>
    <w:rsid w:val="004C379A"/>
    <w:rsid w:val="004D3D59"/>
    <w:rsid w:val="004E57C4"/>
    <w:rsid w:val="004F3AAF"/>
    <w:rsid w:val="00502EFD"/>
    <w:rsid w:val="00521057"/>
    <w:rsid w:val="00537B73"/>
    <w:rsid w:val="00547986"/>
    <w:rsid w:val="00550C09"/>
    <w:rsid w:val="00570963"/>
    <w:rsid w:val="00570A71"/>
    <w:rsid w:val="005744A0"/>
    <w:rsid w:val="00590DBD"/>
    <w:rsid w:val="005A253D"/>
    <w:rsid w:val="005A4BF8"/>
    <w:rsid w:val="005A60A7"/>
    <w:rsid w:val="005A6150"/>
    <w:rsid w:val="005B1FEA"/>
    <w:rsid w:val="005B5CF4"/>
    <w:rsid w:val="005D399A"/>
    <w:rsid w:val="005D48BA"/>
    <w:rsid w:val="005D63B0"/>
    <w:rsid w:val="005E037E"/>
    <w:rsid w:val="005E29D6"/>
    <w:rsid w:val="005E6930"/>
    <w:rsid w:val="005F73CF"/>
    <w:rsid w:val="00612BD5"/>
    <w:rsid w:val="00613C65"/>
    <w:rsid w:val="00614F7A"/>
    <w:rsid w:val="006268A5"/>
    <w:rsid w:val="00631CBD"/>
    <w:rsid w:val="00633D6E"/>
    <w:rsid w:val="00635AAA"/>
    <w:rsid w:val="006369B3"/>
    <w:rsid w:val="0066583F"/>
    <w:rsid w:val="006708E9"/>
    <w:rsid w:val="0068524E"/>
    <w:rsid w:val="006A2B73"/>
    <w:rsid w:val="006A6914"/>
    <w:rsid w:val="006B0F14"/>
    <w:rsid w:val="006B5166"/>
    <w:rsid w:val="006C1D04"/>
    <w:rsid w:val="006E4ED5"/>
    <w:rsid w:val="006F08B5"/>
    <w:rsid w:val="006F418E"/>
    <w:rsid w:val="006F57F4"/>
    <w:rsid w:val="00700828"/>
    <w:rsid w:val="00716D42"/>
    <w:rsid w:val="007177D1"/>
    <w:rsid w:val="0075396B"/>
    <w:rsid w:val="00761E07"/>
    <w:rsid w:val="00764980"/>
    <w:rsid w:val="00794CA7"/>
    <w:rsid w:val="00796C3C"/>
    <w:rsid w:val="007B05C0"/>
    <w:rsid w:val="007B39CA"/>
    <w:rsid w:val="007B7145"/>
    <w:rsid w:val="007F4EAD"/>
    <w:rsid w:val="0081798C"/>
    <w:rsid w:val="008248E8"/>
    <w:rsid w:val="0082508E"/>
    <w:rsid w:val="00831D8D"/>
    <w:rsid w:val="00833D12"/>
    <w:rsid w:val="008373BD"/>
    <w:rsid w:val="008405BC"/>
    <w:rsid w:val="0084658C"/>
    <w:rsid w:val="00856F8B"/>
    <w:rsid w:val="00861863"/>
    <w:rsid w:val="00872219"/>
    <w:rsid w:val="00887BF0"/>
    <w:rsid w:val="0089601E"/>
    <w:rsid w:val="0089604E"/>
    <w:rsid w:val="00896340"/>
    <w:rsid w:val="00896D01"/>
    <w:rsid w:val="008B0D10"/>
    <w:rsid w:val="008B43C0"/>
    <w:rsid w:val="008B7103"/>
    <w:rsid w:val="008C194D"/>
    <w:rsid w:val="008D4AD9"/>
    <w:rsid w:val="008D7F1D"/>
    <w:rsid w:val="00917A70"/>
    <w:rsid w:val="00927D02"/>
    <w:rsid w:val="00934743"/>
    <w:rsid w:val="009369CA"/>
    <w:rsid w:val="00954F9C"/>
    <w:rsid w:val="0096123C"/>
    <w:rsid w:val="00971D92"/>
    <w:rsid w:val="00972D70"/>
    <w:rsid w:val="009941D3"/>
    <w:rsid w:val="009A0C8B"/>
    <w:rsid w:val="009A61A1"/>
    <w:rsid w:val="009C5B09"/>
    <w:rsid w:val="009C62CE"/>
    <w:rsid w:val="00A061EC"/>
    <w:rsid w:val="00A111BB"/>
    <w:rsid w:val="00A13EE4"/>
    <w:rsid w:val="00A14694"/>
    <w:rsid w:val="00A171FC"/>
    <w:rsid w:val="00A2086C"/>
    <w:rsid w:val="00A2373E"/>
    <w:rsid w:val="00A33DA5"/>
    <w:rsid w:val="00A41666"/>
    <w:rsid w:val="00A51B93"/>
    <w:rsid w:val="00A56DA3"/>
    <w:rsid w:val="00A57D14"/>
    <w:rsid w:val="00A77495"/>
    <w:rsid w:val="00A81A64"/>
    <w:rsid w:val="00A952F4"/>
    <w:rsid w:val="00AB2537"/>
    <w:rsid w:val="00AD3637"/>
    <w:rsid w:val="00AE3B38"/>
    <w:rsid w:val="00AE754C"/>
    <w:rsid w:val="00AF1A26"/>
    <w:rsid w:val="00B04876"/>
    <w:rsid w:val="00B22C38"/>
    <w:rsid w:val="00B40572"/>
    <w:rsid w:val="00B455AA"/>
    <w:rsid w:val="00B464FA"/>
    <w:rsid w:val="00B533A2"/>
    <w:rsid w:val="00B65634"/>
    <w:rsid w:val="00B66A4B"/>
    <w:rsid w:val="00B66B40"/>
    <w:rsid w:val="00B672A4"/>
    <w:rsid w:val="00B93567"/>
    <w:rsid w:val="00B94251"/>
    <w:rsid w:val="00BA0ED5"/>
    <w:rsid w:val="00BA44C8"/>
    <w:rsid w:val="00BB0DC6"/>
    <w:rsid w:val="00BB2846"/>
    <w:rsid w:val="00BD5F8A"/>
    <w:rsid w:val="00BE5505"/>
    <w:rsid w:val="00BE6E34"/>
    <w:rsid w:val="00C075C3"/>
    <w:rsid w:val="00C239AA"/>
    <w:rsid w:val="00C37D56"/>
    <w:rsid w:val="00C41127"/>
    <w:rsid w:val="00C43BDD"/>
    <w:rsid w:val="00C51409"/>
    <w:rsid w:val="00C727FF"/>
    <w:rsid w:val="00C74EFA"/>
    <w:rsid w:val="00C75249"/>
    <w:rsid w:val="00C75712"/>
    <w:rsid w:val="00C76637"/>
    <w:rsid w:val="00C8046B"/>
    <w:rsid w:val="00CA092E"/>
    <w:rsid w:val="00CB7C07"/>
    <w:rsid w:val="00CC10E5"/>
    <w:rsid w:val="00CC750E"/>
    <w:rsid w:val="00D044BA"/>
    <w:rsid w:val="00D056A8"/>
    <w:rsid w:val="00D05E37"/>
    <w:rsid w:val="00D07DC7"/>
    <w:rsid w:val="00D14CA9"/>
    <w:rsid w:val="00D41161"/>
    <w:rsid w:val="00D550A9"/>
    <w:rsid w:val="00D71FA1"/>
    <w:rsid w:val="00D902B9"/>
    <w:rsid w:val="00DA179D"/>
    <w:rsid w:val="00DA65D4"/>
    <w:rsid w:val="00DC01C2"/>
    <w:rsid w:val="00DC0767"/>
    <w:rsid w:val="00DC5B16"/>
    <w:rsid w:val="00DE27D0"/>
    <w:rsid w:val="00DE2D84"/>
    <w:rsid w:val="00DE3216"/>
    <w:rsid w:val="00DE38A5"/>
    <w:rsid w:val="00DE58B5"/>
    <w:rsid w:val="00DF3BF8"/>
    <w:rsid w:val="00DF4F01"/>
    <w:rsid w:val="00E022CE"/>
    <w:rsid w:val="00E27580"/>
    <w:rsid w:val="00E37FE7"/>
    <w:rsid w:val="00E40716"/>
    <w:rsid w:val="00E47643"/>
    <w:rsid w:val="00E52912"/>
    <w:rsid w:val="00E663FB"/>
    <w:rsid w:val="00E743F9"/>
    <w:rsid w:val="00E81825"/>
    <w:rsid w:val="00E822D2"/>
    <w:rsid w:val="00E9327A"/>
    <w:rsid w:val="00EA0D98"/>
    <w:rsid w:val="00EC4850"/>
    <w:rsid w:val="00F22D9F"/>
    <w:rsid w:val="00F31ABA"/>
    <w:rsid w:val="00F372F3"/>
    <w:rsid w:val="00F42AD8"/>
    <w:rsid w:val="00F44A27"/>
    <w:rsid w:val="00F4532F"/>
    <w:rsid w:val="00F63502"/>
    <w:rsid w:val="00F66616"/>
    <w:rsid w:val="00F754AF"/>
    <w:rsid w:val="00F87248"/>
    <w:rsid w:val="00F87394"/>
    <w:rsid w:val="00F91C1B"/>
    <w:rsid w:val="00F9655C"/>
    <w:rsid w:val="00FA6BF4"/>
    <w:rsid w:val="00FC67B3"/>
    <w:rsid w:val="00FD5533"/>
    <w:rsid w:val="00FE0D65"/>
    <w:rsid w:val="00FE344F"/>
    <w:rsid w:val="00FE6046"/>
    <w:rsid w:val="00FE6ED5"/>
    <w:rsid w:val="00FF26D4"/>
    <w:rsid w:val="00FF332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character" w:customStyle="1" w:styleId="ab">
    <w:name w:val="Основной текст_"/>
    <w:link w:val="4"/>
    <w:rsid w:val="00A33DA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A33DA5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20">
    <w:name w:val="Основной текст2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c">
    <w:name w:val="annotation reference"/>
    <w:rsid w:val="00BB0DC6"/>
    <w:rPr>
      <w:sz w:val="16"/>
      <w:szCs w:val="16"/>
    </w:rPr>
  </w:style>
  <w:style w:type="paragraph" w:styleId="ad">
    <w:name w:val="annotation text"/>
    <w:basedOn w:val="a"/>
    <w:link w:val="ae"/>
    <w:rsid w:val="00BB0D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0DC6"/>
  </w:style>
  <w:style w:type="paragraph" w:styleId="af">
    <w:name w:val="annotation subject"/>
    <w:basedOn w:val="ad"/>
    <w:next w:val="ad"/>
    <w:link w:val="af0"/>
    <w:rsid w:val="00BB0DC6"/>
    <w:rPr>
      <w:b/>
      <w:bCs/>
    </w:rPr>
  </w:style>
  <w:style w:type="character" w:customStyle="1" w:styleId="af0">
    <w:name w:val="Тема примечания Знак"/>
    <w:link w:val="af"/>
    <w:rsid w:val="00BB0DC6"/>
    <w:rPr>
      <w:b/>
      <w:bCs/>
    </w:rPr>
  </w:style>
  <w:style w:type="paragraph" w:styleId="af1">
    <w:name w:val="endnote text"/>
    <w:basedOn w:val="a"/>
    <w:link w:val="af2"/>
    <w:rsid w:val="00E818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81825"/>
  </w:style>
  <w:style w:type="character" w:styleId="af3">
    <w:name w:val="endnote reference"/>
    <w:basedOn w:val="a0"/>
    <w:rsid w:val="00E81825"/>
    <w:rPr>
      <w:vertAlign w:val="superscript"/>
    </w:rPr>
  </w:style>
  <w:style w:type="paragraph" w:styleId="af4">
    <w:name w:val="footnote text"/>
    <w:basedOn w:val="a"/>
    <w:link w:val="af5"/>
    <w:rsid w:val="00E8182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81825"/>
  </w:style>
  <w:style w:type="character" w:styleId="af6">
    <w:name w:val="footnote reference"/>
    <w:basedOn w:val="a0"/>
    <w:rsid w:val="00E81825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5D399A"/>
    <w:rPr>
      <w:sz w:val="24"/>
      <w:szCs w:val="24"/>
    </w:rPr>
  </w:style>
  <w:style w:type="paragraph" w:styleId="af7">
    <w:name w:val="List Paragraph"/>
    <w:basedOn w:val="a"/>
    <w:uiPriority w:val="34"/>
    <w:qFormat/>
    <w:rsid w:val="00F63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character" w:customStyle="1" w:styleId="ab">
    <w:name w:val="Основной текст_"/>
    <w:link w:val="4"/>
    <w:rsid w:val="00A33DA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A33DA5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20">
    <w:name w:val="Основной текст2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c">
    <w:name w:val="annotation reference"/>
    <w:rsid w:val="00BB0DC6"/>
    <w:rPr>
      <w:sz w:val="16"/>
      <w:szCs w:val="16"/>
    </w:rPr>
  </w:style>
  <w:style w:type="paragraph" w:styleId="ad">
    <w:name w:val="annotation text"/>
    <w:basedOn w:val="a"/>
    <w:link w:val="ae"/>
    <w:rsid w:val="00BB0D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0DC6"/>
  </w:style>
  <w:style w:type="paragraph" w:styleId="af">
    <w:name w:val="annotation subject"/>
    <w:basedOn w:val="ad"/>
    <w:next w:val="ad"/>
    <w:link w:val="af0"/>
    <w:rsid w:val="00BB0DC6"/>
    <w:rPr>
      <w:b/>
      <w:bCs/>
    </w:rPr>
  </w:style>
  <w:style w:type="character" w:customStyle="1" w:styleId="af0">
    <w:name w:val="Тема примечания Знак"/>
    <w:link w:val="af"/>
    <w:rsid w:val="00BB0DC6"/>
    <w:rPr>
      <w:b/>
      <w:bCs/>
    </w:rPr>
  </w:style>
  <w:style w:type="paragraph" w:styleId="af1">
    <w:name w:val="endnote text"/>
    <w:basedOn w:val="a"/>
    <w:link w:val="af2"/>
    <w:rsid w:val="00E818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81825"/>
  </w:style>
  <w:style w:type="character" w:styleId="af3">
    <w:name w:val="endnote reference"/>
    <w:basedOn w:val="a0"/>
    <w:rsid w:val="00E81825"/>
    <w:rPr>
      <w:vertAlign w:val="superscript"/>
    </w:rPr>
  </w:style>
  <w:style w:type="paragraph" w:styleId="af4">
    <w:name w:val="footnote text"/>
    <w:basedOn w:val="a"/>
    <w:link w:val="af5"/>
    <w:rsid w:val="00E8182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81825"/>
  </w:style>
  <w:style w:type="character" w:styleId="af6">
    <w:name w:val="footnote reference"/>
    <w:basedOn w:val="a0"/>
    <w:rsid w:val="00E81825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5D399A"/>
    <w:rPr>
      <w:sz w:val="24"/>
      <w:szCs w:val="24"/>
    </w:rPr>
  </w:style>
  <w:style w:type="paragraph" w:styleId="af7">
    <w:name w:val="List Paragraph"/>
    <w:basedOn w:val="a"/>
    <w:uiPriority w:val="34"/>
    <w:qFormat/>
    <w:rsid w:val="00F63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2EDE-6061-4294-8DFA-77F9D803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Рожен</dc:creator>
  <cp:lastModifiedBy>Галина Сергеевна Маркелова</cp:lastModifiedBy>
  <cp:revision>2</cp:revision>
  <cp:lastPrinted>2021-06-16T08:05:00Z</cp:lastPrinted>
  <dcterms:created xsi:type="dcterms:W3CDTF">2022-02-10T06:26:00Z</dcterms:created>
  <dcterms:modified xsi:type="dcterms:W3CDTF">2022-02-10T06:26:00Z</dcterms:modified>
</cp:coreProperties>
</file>