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EA" w:rsidRPr="00B94251" w:rsidRDefault="00482AD2" w:rsidP="005B1FEA">
      <w:pPr>
        <w:jc w:val="center"/>
        <w:rPr>
          <w:b/>
          <w:bCs/>
          <w:sz w:val="28"/>
          <w:szCs w:val="28"/>
        </w:rPr>
      </w:pPr>
      <w:r w:rsidRPr="00B94251">
        <w:rPr>
          <w:b/>
          <w:bCs/>
          <w:sz w:val="28"/>
          <w:szCs w:val="28"/>
        </w:rPr>
        <w:t xml:space="preserve">Детальный план реализации </w:t>
      </w:r>
    </w:p>
    <w:p w:rsidR="00482AD2" w:rsidRDefault="00482AD2" w:rsidP="00896D01">
      <w:pPr>
        <w:jc w:val="center"/>
        <w:rPr>
          <w:b/>
          <w:bCs/>
          <w:sz w:val="28"/>
          <w:szCs w:val="28"/>
        </w:rPr>
      </w:pPr>
      <w:r w:rsidRPr="00B94251">
        <w:rPr>
          <w:b/>
          <w:bCs/>
          <w:sz w:val="28"/>
          <w:szCs w:val="28"/>
        </w:rPr>
        <w:t xml:space="preserve">государственной программы Ленинградской области </w:t>
      </w:r>
      <w:r w:rsidRPr="00B94251">
        <w:rPr>
          <w:b/>
          <w:bCs/>
          <w:sz w:val="28"/>
          <w:szCs w:val="28"/>
        </w:rPr>
        <w:br/>
        <w:t xml:space="preserve">«Стимулирование экономической активности Ленинградской области» </w:t>
      </w:r>
      <w:r w:rsidRPr="00B94251">
        <w:rPr>
          <w:b/>
          <w:bCs/>
          <w:sz w:val="28"/>
          <w:szCs w:val="28"/>
        </w:rPr>
        <w:br/>
        <w:t>за счет средств областного бюджета на 20</w:t>
      </w:r>
      <w:r w:rsidR="001662AB" w:rsidRPr="00B94251">
        <w:rPr>
          <w:b/>
          <w:bCs/>
          <w:sz w:val="28"/>
          <w:szCs w:val="28"/>
        </w:rPr>
        <w:t>20</w:t>
      </w:r>
      <w:r w:rsidRPr="00B94251">
        <w:rPr>
          <w:b/>
          <w:bCs/>
          <w:sz w:val="28"/>
          <w:szCs w:val="28"/>
        </w:rPr>
        <w:t xml:space="preserve"> год</w:t>
      </w:r>
      <w:r w:rsidR="00896D01">
        <w:rPr>
          <w:b/>
          <w:bCs/>
          <w:sz w:val="28"/>
          <w:szCs w:val="28"/>
        </w:rPr>
        <w:t xml:space="preserve"> по мероприятиям, реализуемым комитетом по развитию малого, среднего бизнеса и потребительского Ленинградской области </w:t>
      </w:r>
    </w:p>
    <w:p w:rsidR="00796C3C" w:rsidRDefault="00796C3C" w:rsidP="00896D01">
      <w:pPr>
        <w:jc w:val="center"/>
        <w:rPr>
          <w:b/>
          <w:bCs/>
          <w:sz w:val="28"/>
          <w:szCs w:val="28"/>
        </w:rPr>
      </w:pPr>
    </w:p>
    <w:tbl>
      <w:tblPr>
        <w:tblW w:w="157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6"/>
        <w:gridCol w:w="3962"/>
        <w:gridCol w:w="2552"/>
        <w:gridCol w:w="3969"/>
        <w:gridCol w:w="1013"/>
        <w:gridCol w:w="1134"/>
        <w:gridCol w:w="1134"/>
        <w:gridCol w:w="1318"/>
      </w:tblGrid>
      <w:tr w:rsidR="00796C3C" w:rsidTr="008248E8">
        <w:trPr>
          <w:trHeight w:val="90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основного мероприятия, мероприятия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Соисполнитель,               Участник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 реализации мероприятия на 2020 год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Pr="00C727FF" w:rsidRDefault="00796C3C" w:rsidP="008248E8">
            <w:pPr>
              <w:ind w:left="-88" w:right="-108"/>
              <w:jc w:val="center"/>
              <w:rPr>
                <w:sz w:val="20"/>
                <w:szCs w:val="20"/>
              </w:rPr>
            </w:pPr>
            <w:r w:rsidRPr="00C727FF">
              <w:rPr>
                <w:sz w:val="20"/>
                <w:szCs w:val="20"/>
              </w:rPr>
              <w:t>Год 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Pr="00C727FF" w:rsidRDefault="00796C3C" w:rsidP="008248E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27FF">
              <w:rPr>
                <w:sz w:val="20"/>
                <w:szCs w:val="20"/>
              </w:rPr>
              <w:t>Год окончания реализации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    бюджетных ассигнований,  тыс. руб.</w:t>
            </w:r>
          </w:p>
        </w:tc>
      </w:tr>
      <w:tr w:rsidR="00796C3C" w:rsidTr="008248E8">
        <w:trPr>
          <w:trHeight w:val="60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3C" w:rsidRDefault="00796C3C" w:rsidP="00824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3C" w:rsidRDefault="00796C3C" w:rsidP="00824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3C" w:rsidRDefault="00796C3C" w:rsidP="00824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3C" w:rsidRDefault="00796C3C" w:rsidP="00824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3C" w:rsidRDefault="00796C3C" w:rsidP="00824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3C" w:rsidRDefault="00796C3C" w:rsidP="00824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 числе на 2020 год</w:t>
            </w:r>
          </w:p>
        </w:tc>
      </w:tr>
      <w:tr w:rsidR="00796C3C" w:rsidTr="008248E8">
        <w:trPr>
          <w:trHeight w:val="3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96C3C" w:rsidTr="00C727FF">
        <w:trPr>
          <w:trHeight w:val="510"/>
        </w:trPr>
        <w:tc>
          <w:tcPr>
            <w:tcW w:w="1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3 "Развитие малого, среднего предпринимательства и потребительского рынка Ленинградской области"</w:t>
            </w:r>
          </w:p>
        </w:tc>
      </w:tr>
      <w:tr w:rsidR="00796C3C" w:rsidTr="008248E8">
        <w:trPr>
          <w:trHeight w:val="88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8248E8" w:rsidRPr="00B94251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административных барьеров, избыточного контроля и регулирования, легализация «теневого» сектора малого и среднего предпринимательства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составит 35,6 ед.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96C3C" w:rsidTr="008248E8">
        <w:trPr>
          <w:trHeight w:val="11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Координационного совета по вопросам развития малого и среднего предпринимательства при Губернаторе Ленинградской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не менее 2 заседаний в год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96C3C" w:rsidTr="008248E8">
        <w:trPr>
          <w:trHeight w:val="10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 анализ, формирование отчетов об осуществлении государственного контроля (надзора)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мониторинга не реже 2 раз в год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6C3C" w:rsidTr="008248E8">
        <w:trPr>
          <w:trHeight w:val="12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повышению правовой грамотности субъектов малого и среднего предпринимательства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не менее 10 публичных обсуждений результатов правоприменительной практики представителями контрольно-надзорных органов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6C3C" w:rsidTr="008248E8">
        <w:trPr>
          <w:trHeight w:val="145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Информационно-консультационная поддержка субъектов малого и среднего предпринимательства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составит 29,5 проц.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38 346,5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6037,1</w:t>
            </w:r>
          </w:p>
        </w:tc>
      </w:tr>
      <w:tr w:rsidR="00796C3C" w:rsidTr="008248E8">
        <w:trPr>
          <w:trHeight w:val="98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механизмов обратной связи и общественного мониторинга принятых решений в сфере развития малого и среднего предпринимательства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96C3C" w:rsidTr="008248E8">
        <w:trPr>
          <w:trHeight w:val="1691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повышению качества продукции и услуг субъектов малого и среднего предпринимательства, обеспечению их соответствия техническим регламентам и стандартам (национальным и международным)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не менее 10 встреч с субъектами малого и среднего предпринимательства на базе каждого из обособленных подразделений ЛОТПП, осуществляющих деятельность по сертификации, стандартизации и техническим исследованиям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96C3C" w:rsidTr="008248E8">
        <w:trPr>
          <w:trHeight w:val="16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и модернизация информационно-аналитической системы мониторинга социально-экономического развития муниципальных образований Ленинградской области (ИАС "Мониторинг СЭР МО")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сведений о субъектах малого и среднего предпринимательства  в ИАС "Мониторинг СЭР МО"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796C3C" w:rsidTr="008248E8">
        <w:trPr>
          <w:trHeight w:val="13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3.2.4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органам местного самоуправления по организации мониторинга деятельности субъектов малого и среднего предпринимательства (субсидии бюджетам муниципальных образований)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не менее 17 муниципальным образованиям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32 685,5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5137,1</w:t>
            </w:r>
          </w:p>
        </w:tc>
      </w:tr>
      <w:tr w:rsidR="00796C3C" w:rsidTr="008248E8">
        <w:trPr>
          <w:trHeight w:val="226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кадров для малого и среднего предпринимательства и популяризация предпринимательской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Количество муниципальных образований Ленинградской области, на территории которых зафиксирована положительная динамика количества зарегистрированных малых и средних предприятий, составит 18 единиц,</w:t>
            </w:r>
            <w:r>
              <w:rPr>
                <w:sz w:val="20"/>
                <w:szCs w:val="20"/>
              </w:rPr>
              <w:br/>
              <w:t>Численность занятых в сфере малого и среднего предпринимательства, включая индивидуальных предпринимателей, составит 205 тыс. человек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143 618,4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18627,0</w:t>
            </w:r>
          </w:p>
        </w:tc>
      </w:tr>
      <w:tr w:rsidR="00796C3C" w:rsidTr="008248E8">
        <w:trPr>
          <w:trHeight w:val="13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партнерских программ обучения (с АО «Федеральная корпорация по развитию малого и среднего предпринимательства», АО «Российский экспортный центр», АО «Деловая среда» и др.)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6C3C" w:rsidTr="008248E8">
        <w:trPr>
          <w:trHeight w:val="19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в рамках информационной кампании, популяризирующей ведение предпринимательской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не менее 10 лучших предпринимателей и представление их к награждению почетным знаком Губернатора Ленинградской области "Почетный предприниматель Ленинградской области" (приобретение нагрудных знаков и не менее 10 единиц удостоверений)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12 856,4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796C3C" w:rsidTr="008248E8">
        <w:trPr>
          <w:trHeight w:val="97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грантов субъектам малого и среднего предпринимательства на возмещение части затрат, связанных с реализацией </w:t>
            </w:r>
            <w:proofErr w:type="gramStart"/>
            <w:r>
              <w:rPr>
                <w:sz w:val="20"/>
                <w:szCs w:val="20"/>
              </w:rPr>
              <w:t>бизнес-проектов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грантов в форме субсидий не менее чем 3 субъектам малого и среднего предпринимательства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10 530,0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1470,0</w:t>
            </w:r>
          </w:p>
        </w:tc>
      </w:tr>
      <w:tr w:rsidR="00796C3C" w:rsidTr="008248E8">
        <w:trPr>
          <w:trHeight w:val="8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3.3.4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Вовлечение в предпринимательскую деятельность представителей отдельных групп населения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субсидии не менее 6 организациям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</w:tc>
      </w:tr>
      <w:tr w:rsidR="00796C3C" w:rsidTr="008248E8">
        <w:trPr>
          <w:trHeight w:val="90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3.3.5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представителей малого и среднего предпринимательства по программам </w:t>
            </w:r>
            <w:proofErr w:type="gramStart"/>
            <w:r>
              <w:rPr>
                <w:sz w:val="20"/>
                <w:szCs w:val="20"/>
              </w:rPr>
              <w:t>бизнес-акселерации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не менее одной программы с участием не менее 50 субъектов малого и среднего предпринимательства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96 900,0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</w:t>
            </w:r>
          </w:p>
        </w:tc>
      </w:tr>
      <w:tr w:rsidR="00796C3C" w:rsidTr="008248E8">
        <w:trPr>
          <w:trHeight w:val="110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3.3.6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грантов в форме субсидий по итогам ежегодного конкурса "</w:t>
            </w:r>
            <w:proofErr w:type="gramStart"/>
            <w:r>
              <w:rPr>
                <w:sz w:val="20"/>
                <w:szCs w:val="20"/>
              </w:rPr>
              <w:t>Лучший</w:t>
            </w:r>
            <w:proofErr w:type="gramEnd"/>
            <w:r>
              <w:rPr>
                <w:sz w:val="20"/>
                <w:szCs w:val="20"/>
              </w:rPr>
              <w:t xml:space="preserve"> по профессии в сфере потребительского рынка"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грантов в форме субсидий не менее чем 18 представителям субъектов предпринимательства, признанным лучшими по профессиям в сфере потребительского рынка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9 832,0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1092,0</w:t>
            </w:r>
          </w:p>
        </w:tc>
      </w:tr>
      <w:tr w:rsidR="00796C3C" w:rsidTr="008248E8">
        <w:trPr>
          <w:trHeight w:val="123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 w:rsidP="00824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рыночных ниш для малого и среднего предпринимательства и развитие конкуренции на локальных рынках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составит 35,6 ед.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711 789,8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158367,7</w:t>
            </w:r>
          </w:p>
        </w:tc>
      </w:tr>
      <w:tr w:rsidR="00796C3C" w:rsidTr="008248E8">
        <w:trPr>
          <w:trHeight w:val="841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 поддержка субъектов малого и среднего предпринимательства, осуществляющих деятельность в сфере малоформатной торговли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не менее 1 субъекту малого, среднего бизнеса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25 677,5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167,7</w:t>
            </w:r>
          </w:p>
        </w:tc>
      </w:tr>
      <w:tr w:rsidR="00796C3C" w:rsidTr="008248E8">
        <w:trPr>
          <w:trHeight w:val="10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 поддержка субъектов малого и среднего предпринимательства, осуществляющих сертификацию продукции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поддержки не менее 20 субъектам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</w:t>
            </w:r>
          </w:p>
        </w:tc>
      </w:tr>
      <w:tr w:rsidR="00796C3C" w:rsidTr="008248E8">
        <w:trPr>
          <w:trHeight w:val="98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 поддержка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23 000,0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6C3C" w:rsidTr="008248E8">
        <w:trPr>
          <w:trHeight w:val="8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3.4.4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proofErr w:type="gramStart"/>
            <w:r>
              <w:rPr>
                <w:sz w:val="20"/>
                <w:szCs w:val="20"/>
              </w:rPr>
              <w:t>участия объединенной экспозиции работ мастеров народных промыслов</w:t>
            </w:r>
            <w:proofErr w:type="gramEnd"/>
            <w:r>
              <w:rPr>
                <w:sz w:val="20"/>
                <w:szCs w:val="20"/>
              </w:rPr>
              <w:t xml:space="preserve"> и ремесел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6C3C" w:rsidTr="008248E8">
        <w:trPr>
          <w:trHeight w:val="118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3.4.5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Развитие и поддержка субъектов малого и среднего предпринимательства, осуществляющих деятельность в области ремесел и народных художественных промыслов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не менее 33 субъектам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59 455,2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12200,0</w:t>
            </w:r>
          </w:p>
        </w:tc>
      </w:tr>
      <w:tr w:rsidR="00796C3C" w:rsidTr="008248E8">
        <w:trPr>
          <w:trHeight w:val="98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3.4.6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 поддержка субъектов малого и среднего предпринимательства, осуществляющих деятельность в сфере туризма, в том числе сельского туризма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поддержки не менее 15 субъектам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59 480,0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</w:t>
            </w:r>
          </w:p>
        </w:tc>
      </w:tr>
      <w:tr w:rsidR="00796C3C" w:rsidTr="008248E8">
        <w:trPr>
          <w:trHeight w:val="11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3.4.7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и поддержка субъектов малого и среднего предпринимательства сельскохозяйственных кооперативов, в том числе поддержка производства </w:t>
            </w:r>
            <w:proofErr w:type="spellStart"/>
            <w:r>
              <w:rPr>
                <w:sz w:val="20"/>
                <w:szCs w:val="20"/>
              </w:rPr>
              <w:t>экопродукции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6C3C" w:rsidTr="008248E8">
        <w:trPr>
          <w:trHeight w:val="94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3.4.8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торговли на розничных рынках, ярмарках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не менее 3 организациям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26 700,0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796C3C" w:rsidTr="008248E8">
        <w:trPr>
          <w:trHeight w:val="9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3.4.9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торговой деятельности в отдаленных и труднодоступных местностях (субсидии бюджетам муниципальных образований)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не менее 9 организациям потребительской кооперации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60 365,0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16000,0</w:t>
            </w:r>
          </w:p>
        </w:tc>
      </w:tr>
      <w:tr w:rsidR="00796C3C" w:rsidTr="008248E8">
        <w:trPr>
          <w:trHeight w:val="97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3.4.10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магазинов шаговой доступности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не менее 16 организациям потребительской кооперации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322 700,0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46000,0</w:t>
            </w:r>
          </w:p>
        </w:tc>
      </w:tr>
      <w:tr w:rsidR="00796C3C" w:rsidTr="008248E8">
        <w:trPr>
          <w:trHeight w:val="11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3.4.11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уровня конкурентоспособности субъектов малого и среднего предпринимательства через участие в </w:t>
            </w:r>
            <w:proofErr w:type="spellStart"/>
            <w:r>
              <w:rPr>
                <w:sz w:val="20"/>
                <w:szCs w:val="20"/>
              </w:rPr>
              <w:t>выставочно</w:t>
            </w:r>
            <w:proofErr w:type="spellEnd"/>
            <w:r>
              <w:rPr>
                <w:sz w:val="20"/>
                <w:szCs w:val="20"/>
              </w:rPr>
              <w:t>-ярмарочных мероприятиях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поддержки не менее 18 субъектам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</w:tr>
      <w:tr w:rsidR="00796C3C" w:rsidTr="008248E8">
        <w:trPr>
          <w:trHeight w:val="11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3.4.12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работодателей, приостановивших свою деятельность в связи с угрозой распространения на территории Ленинградской области новой коронавирусной инфекции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поддержки не менее 50 субъектам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</w:t>
            </w:r>
          </w:p>
        </w:tc>
      </w:tr>
      <w:tr w:rsidR="00796C3C" w:rsidTr="008248E8">
        <w:trPr>
          <w:trHeight w:val="169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доступа субъектов малого и среднего предпринимательства к закупкам крупного бизнеса, государственным и муниципальным закупкам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закупок товаров, работ, услуг, осуществляемых у субъектов малого и среднего предпринимательства отдельными видами юридических лиц – конкретными заказчиками регионального уровня, в совокупном объеме закупок, составит 37 проц.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6C3C" w:rsidTr="008248E8">
        <w:trPr>
          <w:trHeight w:val="125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3.5.1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субъектов малого и среднего предпринимательства к закупкам крупных компаний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  годового отчета о закупке товаров, работ, услуг отдельными видами юридических лиц у субъектов малого и среднего  предпринимательства  регионального уровня    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6C3C" w:rsidTr="008248E8">
        <w:trPr>
          <w:trHeight w:val="97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субъектов малого и среднего предпринимательства к государственным и муниципальным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выполнения распоряжения Правительства Ленинградской области от 29.09.2016 № 750-р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96C3C" w:rsidTr="008248E8">
        <w:trPr>
          <w:trHeight w:val="98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выстраиванию производственных цепочек между крупным бизнесом и субъектами малого и среднего предпринимательства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не менее 4 встреч крупного бизнеса с субъектами малого и среднего предпринимательства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6C3C" w:rsidTr="008248E8">
        <w:trPr>
          <w:trHeight w:val="18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информационно-консультационной поддержки субъектам малого и среднего предпринимательства в целях стимулирования их развития в качестве поставщиков при осуществлении закупок крупных компаний, государственных и муниципальных закупок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Оказана поддержка не менее 10 субъектам МСП в рамках мероприятий по "выращиванию" поставщиков субъектов МСП в целях их потенциального участия в закупках товаров, работ, услуг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96C3C" w:rsidTr="008248E8">
        <w:trPr>
          <w:trHeight w:val="2971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Технологическое развитие субъектов малого и среднего предпринимательства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 составит 23,6%, оборот субъектов малого и среднего предпринимательства в постоянных ценах по отношению к показателю 2014 года составит 136,7%, доля оборота продукции (услуг), производимой субъектами малого и среднего предпринимательства, в общем обороте предприятий и организаций Ленинградской области составит 25,1%</w:t>
            </w:r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684 527,7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247481,1</w:t>
            </w:r>
          </w:p>
        </w:tc>
      </w:tr>
      <w:tr w:rsidR="00796C3C" w:rsidTr="008248E8">
        <w:trPr>
          <w:trHeight w:val="98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и поддержка субъектов малого и среднего предпринимательства, реализующих программы </w:t>
            </w:r>
            <w:proofErr w:type="spellStart"/>
            <w:r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96C3C" w:rsidTr="008248E8">
        <w:trPr>
          <w:trHeight w:val="9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 поддержка субъектов малого и среднего предпринимательства, осуществляющих модернизацию производства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поддержки не менее 66 субъектам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424 261,8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65481,1</w:t>
            </w:r>
          </w:p>
        </w:tc>
      </w:tr>
      <w:tr w:rsidR="00796C3C" w:rsidTr="008248E8">
        <w:trPr>
          <w:trHeight w:val="98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Стимулирование создания и развития инновационных субъектов малого и среднего предпринимательства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6C3C" w:rsidTr="008248E8">
        <w:trPr>
          <w:trHeight w:val="210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3.6.4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органам местного самоуправления для софинансирования мероприятий по поддержке субъектов малого и среднего предпринимательства, осуществляющих деятельность в сфере сельскохозяйственного производства, на технологическое присоединение к сетям энергоснабжения (субсидии бюджета муниципальных образований)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поддержки не менее 1 субъекту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260 000,0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182000,0</w:t>
            </w:r>
          </w:p>
        </w:tc>
      </w:tr>
      <w:tr w:rsidR="00796C3C" w:rsidTr="008248E8">
        <w:trPr>
          <w:trHeight w:val="43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доступности финансирования для субъектов малого и среднего предпринимательства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развитию малого, среднего бизнеса и потребительского рынка Ленинградской области, Ленинградский областной комитет по управлению государственным имуществом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Доля кредитов субъектам малого и среднего предпринимательства в общем кредитном портфеле юридических лиц и индивидуальных предпринимателей составит 17,5%, доля средств, направляемая на реализацию мероприятий в сфере развития малого и среднего предпринимательства в </w:t>
            </w:r>
            <w:proofErr w:type="spellStart"/>
            <w:r>
              <w:rPr>
                <w:sz w:val="20"/>
                <w:szCs w:val="20"/>
              </w:rPr>
              <w:t>монопрофильных</w:t>
            </w:r>
            <w:proofErr w:type="spellEnd"/>
            <w:r>
              <w:rPr>
                <w:sz w:val="20"/>
                <w:szCs w:val="20"/>
              </w:rPr>
              <w:t xml:space="preserve"> муниципальных образованиях Ленинградской области, в общем объеме финансового обеспечения государственной поддержки малого и среднего предпринимательства за счет средств бюджетов всех уровней составит 3,5%, оборот в расчете на</w:t>
            </w:r>
            <w:proofErr w:type="gramEnd"/>
            <w:r>
              <w:rPr>
                <w:sz w:val="20"/>
                <w:szCs w:val="20"/>
              </w:rPr>
              <w:t xml:space="preserve"> одного работника субъекта малого и среднего предпринимательства в постоянных ценах по отношению к показателю 2014 года составит 135,2%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943 556,9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203237,9</w:t>
            </w:r>
          </w:p>
        </w:tc>
      </w:tr>
      <w:tr w:rsidR="00796C3C" w:rsidTr="008248E8">
        <w:trPr>
          <w:trHeight w:val="11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 поддержка субъектов малого и среднего предпринимательства, привлекающих кредитные ресурсы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поддержки не менее 55 субъектам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318 907,1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58277,6</w:t>
            </w:r>
          </w:p>
        </w:tc>
      </w:tr>
      <w:tr w:rsidR="00796C3C" w:rsidTr="008248E8">
        <w:trPr>
          <w:trHeight w:val="98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проектов на начальной (посевной) стадии (субсидии бюджетам муниципальных образований)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поддержки не менее 43 субъектам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158 689,5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</w:t>
            </w:r>
          </w:p>
        </w:tc>
      </w:tr>
      <w:tr w:rsidR="00796C3C" w:rsidTr="008248E8">
        <w:trPr>
          <w:trHeight w:val="9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3.7.3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рыночных инструментов поддержки субъектов малого и среднего предпринимательства (</w:t>
            </w:r>
            <w:proofErr w:type="spellStart"/>
            <w:r>
              <w:rPr>
                <w:sz w:val="20"/>
                <w:szCs w:val="20"/>
              </w:rPr>
              <w:t>микрозаймы</w:t>
            </w:r>
            <w:proofErr w:type="spellEnd"/>
            <w:r>
              <w:rPr>
                <w:sz w:val="20"/>
                <w:szCs w:val="20"/>
              </w:rPr>
              <w:t xml:space="preserve"> и поручительства)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поддержки не менее 9 субъектам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</w:t>
            </w:r>
          </w:p>
        </w:tc>
      </w:tr>
      <w:tr w:rsidR="00796C3C" w:rsidTr="008248E8">
        <w:trPr>
          <w:trHeight w:val="98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3.7.5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лизинговой поддержки субъектов малого и среднего предпринимательства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поддержки не менее 100 субъектам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</w:t>
            </w:r>
          </w:p>
        </w:tc>
      </w:tr>
      <w:tr w:rsidR="00796C3C" w:rsidTr="008248E8">
        <w:trPr>
          <w:trHeight w:val="12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3.7.6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Содействие органам местного самоуправления для софинансирования текущей деятельности </w:t>
            </w:r>
            <w:proofErr w:type="gramStart"/>
            <w:r>
              <w:rPr>
                <w:sz w:val="20"/>
                <w:szCs w:val="20"/>
              </w:rPr>
              <w:t>бизнес-инкубаторов</w:t>
            </w:r>
            <w:proofErr w:type="gramEnd"/>
            <w:r>
              <w:rPr>
                <w:sz w:val="20"/>
                <w:szCs w:val="20"/>
              </w:rPr>
              <w:t xml:space="preserve"> в моногородах (субсидии бюджетам муниципальных образований)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одному муниципальному образованию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796C3C" w:rsidTr="008248E8">
        <w:trPr>
          <w:trHeight w:val="10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3.7.7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Содействие органам местного самоуправления по поддержке и развитию субъектов малого и среднего предпринимательства в моногородах (субсидии бюджета муниципальных образований)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поддержки не менее 40 субъектам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141 300,0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23800,0</w:t>
            </w:r>
          </w:p>
        </w:tc>
      </w:tr>
      <w:tr w:rsidR="00796C3C" w:rsidTr="008248E8">
        <w:trPr>
          <w:trHeight w:val="10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3.7.8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Докапитализация</w:t>
            </w:r>
            <w:proofErr w:type="spellEnd"/>
            <w:r>
              <w:rPr>
                <w:sz w:val="20"/>
                <w:szCs w:val="20"/>
              </w:rPr>
              <w:t xml:space="preserve"> региональной гарантийной организации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гарантийного капитала на 2 376,7 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2 376,7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2376,7</w:t>
            </w:r>
          </w:p>
        </w:tc>
      </w:tr>
      <w:tr w:rsidR="00796C3C" w:rsidTr="008248E8">
        <w:trPr>
          <w:trHeight w:val="10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3.7.9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Докапитализация</w:t>
            </w:r>
            <w:proofErr w:type="spellEnd"/>
            <w:r>
              <w:rPr>
                <w:sz w:val="20"/>
                <w:szCs w:val="20"/>
              </w:rPr>
              <w:t xml:space="preserve"> государственной </w:t>
            </w:r>
            <w:proofErr w:type="spellStart"/>
            <w:r>
              <w:rPr>
                <w:sz w:val="20"/>
                <w:szCs w:val="20"/>
              </w:rPr>
              <w:t>микрофинансовой</w:t>
            </w:r>
            <w:proofErr w:type="spellEnd"/>
            <w:r>
              <w:rPr>
                <w:sz w:val="20"/>
                <w:szCs w:val="20"/>
              </w:rPr>
              <w:t xml:space="preserve"> организации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поддержки не менее 3 субъектам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4 919,9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4919,9</w:t>
            </w:r>
          </w:p>
        </w:tc>
      </w:tr>
      <w:tr w:rsidR="00796C3C" w:rsidTr="008248E8">
        <w:trPr>
          <w:trHeight w:val="254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3.7.10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цифровых компетенций субъектов малого и среднего предпринимательства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переобучения учредителей, руководителей и сотрудников  субъектов МСП по компетенциям цифровой экономики не менее чем по 5 из 22 областей, утвержденных приказом Минэкономразвития России от 24 января 2020 года № 41 "Об утверждении методик расчета показателей федерального проекта "Кадры для цифровой экономики" национальной программы "Цифровая экономика Российской Федерации"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19 863,7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19863,7</w:t>
            </w:r>
          </w:p>
        </w:tc>
      </w:tr>
      <w:tr w:rsidR="00796C3C" w:rsidTr="008248E8">
        <w:trPr>
          <w:trHeight w:val="181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Инфраструктурная поддержка субъектов малого и среднего предпринимательства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области, Комитет, комитет по строительству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организаций инфраструктуры поддержки субъектов малого и среднего предпринимательства, соответствующих стандартам на территории региона, в общем числе организаций инфраструктуры поддержки субъектов малого и среднего предпринимательства региона составит 87%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503 460,5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96615,5</w:t>
            </w:r>
          </w:p>
        </w:tc>
      </w:tr>
      <w:tr w:rsidR="00796C3C" w:rsidTr="008248E8">
        <w:trPr>
          <w:trHeight w:val="110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государственного казенного учреждения Ленинградской области «Ленинградский областной центр поддержки предпринимательства»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Информационная и консультационная поддержка субъектов МСП в рамках </w:t>
            </w:r>
            <w:proofErr w:type="spellStart"/>
            <w:r>
              <w:rPr>
                <w:sz w:val="20"/>
                <w:szCs w:val="20"/>
              </w:rPr>
              <w:t>реализаци</w:t>
            </w:r>
            <w:proofErr w:type="spellEnd"/>
            <w:r>
              <w:rPr>
                <w:sz w:val="20"/>
                <w:szCs w:val="20"/>
              </w:rPr>
              <w:t xml:space="preserve"> подпрограммы; проведение не менее 3000 консультаций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111 020,2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21782,0</w:t>
            </w:r>
          </w:p>
        </w:tc>
      </w:tr>
      <w:tr w:rsidR="00796C3C" w:rsidTr="008248E8">
        <w:trPr>
          <w:trHeight w:val="95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развитию организаций инфраструктуры поддержки малого и среднего предпринимательства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поддержки не менее 18 организациям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123 300,0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</w:t>
            </w:r>
          </w:p>
        </w:tc>
      </w:tr>
      <w:tr w:rsidR="00796C3C" w:rsidTr="008248E8">
        <w:trPr>
          <w:trHeight w:val="9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продвижению услуг организаций инфраструктуры поддержки малого и среднего предпринимательства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свыше 25000 консультаций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</w:t>
            </w:r>
          </w:p>
        </w:tc>
      </w:tr>
      <w:tr w:rsidR="00796C3C" w:rsidTr="008248E8">
        <w:trPr>
          <w:trHeight w:val="83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3.8.4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"Фонда поддержки предпринимательства и промышленности Ленинградской области, микрокредитная компания"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Фонда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227 140,3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40833,5</w:t>
            </w:r>
          </w:p>
        </w:tc>
      </w:tr>
      <w:tr w:rsidR="00796C3C" w:rsidTr="008248E8">
        <w:trPr>
          <w:trHeight w:val="10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выдаваемых</w:t>
            </w:r>
            <w:proofErr w:type="gramEnd"/>
            <w:r>
              <w:rPr>
                <w:sz w:val="20"/>
                <w:szCs w:val="20"/>
              </w:rPr>
              <w:t xml:space="preserve"> микрозаймов не менее 698 ед.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211 951,0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69070,9</w:t>
            </w:r>
          </w:p>
        </w:tc>
      </w:tr>
      <w:tr w:rsidR="00796C3C" w:rsidTr="008248E8">
        <w:trPr>
          <w:trHeight w:val="12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региональной гарантийной организации Ленинградской области, осуществляющей деятельность в рамках национальной гарантийной системы, с учетом присвоенного ранга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гарантийного капитала на 1 152,83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22 880,2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1152,8</w:t>
            </w:r>
          </w:p>
        </w:tc>
      </w:tr>
      <w:tr w:rsidR="00796C3C" w:rsidTr="008248E8">
        <w:trPr>
          <w:trHeight w:val="9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3.10.2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региональной микрофинансовой организации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не менее 30 микрозаймов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189 070,8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67918,1</w:t>
            </w:r>
          </w:p>
        </w:tc>
      </w:tr>
      <w:tr w:rsidR="00796C3C" w:rsidTr="008248E8">
        <w:trPr>
          <w:trHeight w:val="84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"Акселерация субъектов малого и среднего предпринимательства"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93 498,1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28833,1</w:t>
            </w:r>
          </w:p>
        </w:tc>
      </w:tr>
      <w:tr w:rsidR="00796C3C" w:rsidTr="008248E8">
        <w:trPr>
          <w:trHeight w:val="10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программы поддержки субъектов малого и среднего предпринимательства в целях их ускоренного развития в моногородах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поддержки не менее 1 субъекту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12 555,3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1943,06</w:t>
            </w:r>
          </w:p>
        </w:tc>
      </w:tr>
      <w:tr w:rsidR="00796C3C" w:rsidTr="008248E8">
        <w:trPr>
          <w:trHeight w:val="113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комплекса услуг, сервисов и мер поддержки субъектам малого и среднего предпринимательства в Центре "Мой бизнес"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субъектов МСП и самозанятых граждан, получивших поддержку в рамках регионального проекта «Акселерация субъектов малого и среднего предпринимательства» - не менее 2715 ед.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80 942,8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26890,08</w:t>
            </w:r>
          </w:p>
        </w:tc>
      </w:tr>
      <w:tr w:rsidR="00796C3C" w:rsidTr="008248E8">
        <w:trPr>
          <w:trHeight w:val="438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"Популяризация предпринимательства"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физических лиц – участников регионального проекта «Популяризация предпринимательства», занятых в сфере малого и среднего предпринимательства, по итогам участия в региональном проекте - не менее 1875 чел. нарастающим итогом; количество вновь созданных субъектов МСП участниками регионального проекта «Популяризация предпринимательства» - не менее 346 ед. нарастающим итогом; количество обученных основам ведения бизнеса, финансовой грамотности и иным навыкам предпринимательской деятельности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е менее 2876 чел. нарастающим итогом; количество физических лиц – участников регионального проекта «Популяризация предпринимательства» - не менее 15835 чел. нарастающим итогом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20 665,5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6333,8</w:t>
            </w:r>
          </w:p>
        </w:tc>
      </w:tr>
      <w:tr w:rsidR="00796C3C" w:rsidTr="008248E8">
        <w:trPr>
          <w:trHeight w:val="438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комплексной программы по вовлечению в предпринимательскую деятельность и содействию созданию собственного бизнеса для каждой целевой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 размещение не менее 10 публикаций в печатных СМИ, не менее 50 публикаций на интернет-сайтах администраций муниципальных образований Ленинградской области  и сайтах организаций, образующих муниципальную инфраструктуру поддержки,  издание не менее 3 наименований информационно-справочных и презентационных </w:t>
            </w:r>
            <w:proofErr w:type="spellStart"/>
            <w:r>
              <w:rPr>
                <w:sz w:val="20"/>
                <w:szCs w:val="20"/>
              </w:rPr>
              <w:t>материалов</w:t>
            </w:r>
            <w:proofErr w:type="gramStart"/>
            <w:r>
              <w:rPr>
                <w:sz w:val="20"/>
                <w:szCs w:val="20"/>
              </w:rPr>
              <w:t>;о</w:t>
            </w:r>
            <w:proofErr w:type="gramEnd"/>
            <w:r>
              <w:rPr>
                <w:sz w:val="20"/>
                <w:szCs w:val="20"/>
              </w:rPr>
              <w:t>рганизация</w:t>
            </w:r>
            <w:proofErr w:type="spellEnd"/>
            <w:r>
              <w:rPr>
                <w:sz w:val="20"/>
                <w:szCs w:val="20"/>
              </w:rPr>
              <w:t xml:space="preserve">; проведение не менее 10 семинаров по актуальным вопросам в сфере малого и среднего предпринимательства, проведение не проведение не  менее 1 форума малого и среднего бизнеса, не менее 2 мероприятий по продвижению товаров, работ, услуг субъектов малого и среднего предпринимательства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20 665,5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6333,8</w:t>
            </w:r>
          </w:p>
        </w:tc>
      </w:tr>
      <w:tr w:rsidR="00796C3C" w:rsidTr="008248E8">
        <w:trPr>
          <w:trHeight w:val="16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"Улучшение условий ведения предпринимательской деятельности"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Дополнение перечней государственного и (или) муниципального имущества, не менее чем до 1370 объектов; приведение в соответствие региональных и муниципальных правовых актов  по организации нестационарной и мобильной  торговли в Ленинградской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96C3C" w:rsidTr="008248E8">
        <w:trPr>
          <w:trHeight w:val="11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региональных и муниципальных правовых актов, регулирующих организацию  нестационарной и мобильной  торговли на территории Ленинградской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предоставления муниципальных услуг по включению (предоставлению) мест под размещение нестационарной и мобильной торговли в ГБУ ЛО МФЦ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96C3C" w:rsidTr="008248E8">
        <w:trPr>
          <w:trHeight w:val="21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доступа субъектов МСП к предоставляемому на льготных условиях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перечнях государственного и муниципального имущества, утверждаемых в Ленинградской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Дополнение перечней государственного и (или) муниципального имущества, не менее чем до 1370 объектов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96C3C" w:rsidTr="008248E8">
        <w:trPr>
          <w:trHeight w:val="11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конкурентных способов оказания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- 35,6 единиц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417 840,0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178896,0</w:t>
            </w:r>
          </w:p>
        </w:tc>
      </w:tr>
      <w:tr w:rsidR="00796C3C" w:rsidTr="008248E8">
        <w:trPr>
          <w:trHeight w:val="141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Развитие и поддержка юридических лиц (за исключением государственных (муниципальных) учреждений, индивидуальных предпринимателей, осуществляющих деятельность в сфере дошкольного образования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расходов не менее 18 организациям за 8 месяцев 2020 года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357 840,0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148896,0</w:t>
            </w:r>
          </w:p>
        </w:tc>
      </w:tr>
      <w:tr w:rsidR="00796C3C" w:rsidTr="008248E8">
        <w:trPr>
          <w:trHeight w:val="9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3.14.2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и поддержка субъектов малого и среднего предпринимательства, осуществляющих деятельность социальной направленности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поддержки не менее 70 субъектам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</w:t>
            </w:r>
          </w:p>
        </w:tc>
      </w:tr>
      <w:tr w:rsidR="00796C3C" w:rsidTr="008248E8">
        <w:trPr>
          <w:trHeight w:val="9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"Промышленный экспорт"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экспорта конкурентоспособной промышленной продукции составит 2,794 млрд. долларов США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</w:t>
            </w:r>
          </w:p>
        </w:tc>
      </w:tr>
      <w:tr w:rsidR="00796C3C" w:rsidTr="008248E8">
        <w:trPr>
          <w:trHeight w:val="97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3.15.1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Возмещение части затрат субъектам малого и среднего предпринимательства, осуществляющим экспортную деятельность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 w:rsidP="008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поддержки не менее 20 субъектам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3C" w:rsidRDefault="0079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3C" w:rsidRDefault="00796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</w:t>
            </w:r>
          </w:p>
        </w:tc>
      </w:tr>
      <w:tr w:rsidR="00C727FF" w:rsidTr="008248E8">
        <w:trPr>
          <w:trHeight w:val="390"/>
        </w:trPr>
        <w:tc>
          <w:tcPr>
            <w:tcW w:w="13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7FF" w:rsidRDefault="00C727FF" w:rsidP="008248E8">
            <w:pPr>
              <w:jc w:val="right"/>
              <w:rPr>
                <w:b/>
                <w:bCs/>
                <w:sz w:val="20"/>
                <w:szCs w:val="20"/>
              </w:rPr>
            </w:pPr>
            <w:r w:rsidRPr="008248E8">
              <w:rPr>
                <w:b/>
                <w:bCs/>
                <w:sz w:val="28"/>
                <w:szCs w:val="28"/>
              </w:rPr>
              <w:t>Итого по подпрограмме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7FF" w:rsidRDefault="00C727FF" w:rsidP="00C727F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3 874 254,4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7FF" w:rsidRDefault="00C727FF" w:rsidP="00C727FF">
            <w:pPr>
              <w:ind w:left="-129" w:right="-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1 043 500,2</w:t>
            </w:r>
          </w:p>
        </w:tc>
      </w:tr>
    </w:tbl>
    <w:p w:rsidR="00796C3C" w:rsidRDefault="00796C3C" w:rsidP="00896D01">
      <w:pPr>
        <w:jc w:val="center"/>
        <w:rPr>
          <w:b/>
          <w:bCs/>
          <w:sz w:val="28"/>
          <w:szCs w:val="28"/>
        </w:rPr>
      </w:pPr>
    </w:p>
    <w:p w:rsidR="00796C3C" w:rsidRDefault="00796C3C" w:rsidP="00896D01">
      <w:pPr>
        <w:jc w:val="center"/>
        <w:rPr>
          <w:sz w:val="28"/>
          <w:szCs w:val="28"/>
        </w:rPr>
      </w:pPr>
    </w:p>
    <w:p w:rsidR="00482AD2" w:rsidRDefault="00F87394" w:rsidP="008C194D">
      <w:pPr>
        <w:jc w:val="both"/>
        <w:rPr>
          <w:sz w:val="28"/>
          <w:szCs w:val="28"/>
        </w:rPr>
      </w:pPr>
      <w:r w:rsidRPr="00B94251">
        <w:rPr>
          <w:sz w:val="22"/>
          <w:szCs w:val="22"/>
          <w:vertAlign w:val="superscript"/>
        </w:rPr>
        <w:t>1</w:t>
      </w:r>
      <w:r w:rsidRPr="00B94251">
        <w:rPr>
          <w:sz w:val="28"/>
          <w:szCs w:val="28"/>
        </w:rPr>
        <w:t xml:space="preserve"> </w:t>
      </w:r>
      <w:r w:rsidRPr="00B94251">
        <w:rPr>
          <w:sz w:val="20"/>
          <w:szCs w:val="20"/>
        </w:rPr>
        <w:t xml:space="preserve">Нумерация пунктов мероприятий соответствует нумерации </w:t>
      </w:r>
      <w:proofErr w:type="gramStart"/>
      <w:r w:rsidRPr="00B94251">
        <w:rPr>
          <w:sz w:val="20"/>
          <w:szCs w:val="20"/>
        </w:rPr>
        <w:t>пунктов мероприятий сводного детального плана реализации государственной программы Ленинградской</w:t>
      </w:r>
      <w:proofErr w:type="gramEnd"/>
      <w:r w:rsidRPr="00B94251">
        <w:rPr>
          <w:sz w:val="20"/>
          <w:szCs w:val="20"/>
        </w:rPr>
        <w:t xml:space="preserve"> области «Стимулирование экономической активности Ленинградской области» за счет средств областного бюджета на 20</w:t>
      </w:r>
      <w:r w:rsidR="00B94251" w:rsidRPr="00B94251">
        <w:rPr>
          <w:sz w:val="20"/>
          <w:szCs w:val="20"/>
        </w:rPr>
        <w:t>20</w:t>
      </w:r>
      <w:r w:rsidRPr="00B94251">
        <w:rPr>
          <w:sz w:val="20"/>
          <w:szCs w:val="20"/>
        </w:rPr>
        <w:t xml:space="preserve"> год, утвержденного заместителем Председателя Правительства Ленинградского области – председателем комитета экономического развития и инвестиционной деятельности от </w:t>
      </w:r>
      <w:r w:rsidR="00B94251" w:rsidRPr="00B94251">
        <w:rPr>
          <w:sz w:val="20"/>
          <w:szCs w:val="20"/>
        </w:rPr>
        <w:t>29</w:t>
      </w:r>
      <w:r w:rsidRPr="00B94251">
        <w:rPr>
          <w:sz w:val="20"/>
          <w:szCs w:val="20"/>
        </w:rPr>
        <w:t xml:space="preserve"> </w:t>
      </w:r>
      <w:r w:rsidR="00B94251" w:rsidRPr="00B94251">
        <w:rPr>
          <w:sz w:val="20"/>
          <w:szCs w:val="20"/>
        </w:rPr>
        <w:t>июня</w:t>
      </w:r>
      <w:r w:rsidRPr="00B94251">
        <w:rPr>
          <w:sz w:val="20"/>
          <w:szCs w:val="20"/>
        </w:rPr>
        <w:t xml:space="preserve"> 20</w:t>
      </w:r>
      <w:r w:rsidR="00B94251" w:rsidRPr="00B94251">
        <w:rPr>
          <w:sz w:val="20"/>
          <w:szCs w:val="20"/>
        </w:rPr>
        <w:t>20</w:t>
      </w:r>
      <w:r w:rsidRPr="00B94251">
        <w:rPr>
          <w:sz w:val="20"/>
          <w:szCs w:val="20"/>
        </w:rPr>
        <w:t xml:space="preserve"> года</w:t>
      </w:r>
      <w:r w:rsidRPr="00E81825">
        <w:t xml:space="preserve">  </w:t>
      </w:r>
    </w:p>
    <w:sectPr w:rsidR="00482AD2" w:rsidSect="00B94251">
      <w:headerReference w:type="even" r:id="rId9"/>
      <w:headerReference w:type="default" r:id="rId10"/>
      <w:endnotePr>
        <w:numFmt w:val="decimal"/>
      </w:endnotePr>
      <w:pgSz w:w="16838" w:h="11906" w:orient="landscape"/>
      <w:pgMar w:top="709" w:right="567" w:bottom="426" w:left="1134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CCB" w:rsidRDefault="00EB0CCB">
      <w:r>
        <w:separator/>
      </w:r>
    </w:p>
  </w:endnote>
  <w:endnote w:type="continuationSeparator" w:id="0">
    <w:p w:rsidR="00EB0CCB" w:rsidRDefault="00EB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CCB" w:rsidRDefault="00EB0CCB">
      <w:r>
        <w:separator/>
      </w:r>
    </w:p>
  </w:footnote>
  <w:footnote w:type="continuationSeparator" w:id="0">
    <w:p w:rsidR="00EB0CCB" w:rsidRDefault="00EB0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3C" w:rsidRDefault="00796C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96C3C" w:rsidRDefault="00796C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3C" w:rsidRDefault="00796C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020"/>
    <w:multiLevelType w:val="hybridMultilevel"/>
    <w:tmpl w:val="5A3C3322"/>
    <w:lvl w:ilvl="0" w:tplc="CF0ED3A8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707B"/>
    <w:multiLevelType w:val="hybridMultilevel"/>
    <w:tmpl w:val="DC16ED8A"/>
    <w:lvl w:ilvl="0" w:tplc="39306B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528A7"/>
    <w:multiLevelType w:val="hybridMultilevel"/>
    <w:tmpl w:val="7D524CBC"/>
    <w:lvl w:ilvl="0" w:tplc="39306B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16F07"/>
    <w:multiLevelType w:val="hybridMultilevel"/>
    <w:tmpl w:val="498CD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771A4"/>
    <w:multiLevelType w:val="hybridMultilevel"/>
    <w:tmpl w:val="F51CC23C"/>
    <w:lvl w:ilvl="0" w:tplc="39306B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F0CEE"/>
    <w:multiLevelType w:val="multilevel"/>
    <w:tmpl w:val="F6FCA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C2C142A"/>
    <w:multiLevelType w:val="hybridMultilevel"/>
    <w:tmpl w:val="A04C1026"/>
    <w:lvl w:ilvl="0" w:tplc="39306B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657AE"/>
    <w:multiLevelType w:val="hybridMultilevel"/>
    <w:tmpl w:val="0888B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45176"/>
    <w:multiLevelType w:val="hybridMultilevel"/>
    <w:tmpl w:val="71D80648"/>
    <w:lvl w:ilvl="0" w:tplc="F7FE7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780DA9"/>
    <w:multiLevelType w:val="hybridMultilevel"/>
    <w:tmpl w:val="CA107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91AE4"/>
    <w:multiLevelType w:val="hybridMultilevel"/>
    <w:tmpl w:val="92EC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00BAD"/>
    <w:multiLevelType w:val="hybridMultilevel"/>
    <w:tmpl w:val="289A14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107DE"/>
    <w:rsid w:val="00010D41"/>
    <w:rsid w:val="00012AEC"/>
    <w:rsid w:val="000237DE"/>
    <w:rsid w:val="00033B86"/>
    <w:rsid w:val="0005152C"/>
    <w:rsid w:val="000805C5"/>
    <w:rsid w:val="000913C8"/>
    <w:rsid w:val="00092334"/>
    <w:rsid w:val="0009719A"/>
    <w:rsid w:val="000C06DF"/>
    <w:rsid w:val="000F1E80"/>
    <w:rsid w:val="00130F76"/>
    <w:rsid w:val="00132BFA"/>
    <w:rsid w:val="001356D4"/>
    <w:rsid w:val="001443A9"/>
    <w:rsid w:val="00146C90"/>
    <w:rsid w:val="001608D4"/>
    <w:rsid w:val="001662AB"/>
    <w:rsid w:val="0017014B"/>
    <w:rsid w:val="00175169"/>
    <w:rsid w:val="001829D8"/>
    <w:rsid w:val="001926E4"/>
    <w:rsid w:val="001A41F1"/>
    <w:rsid w:val="001D1995"/>
    <w:rsid w:val="001E6680"/>
    <w:rsid w:val="001F4A42"/>
    <w:rsid w:val="00207025"/>
    <w:rsid w:val="00210977"/>
    <w:rsid w:val="0022184C"/>
    <w:rsid w:val="002368C5"/>
    <w:rsid w:val="00243FB5"/>
    <w:rsid w:val="002459C1"/>
    <w:rsid w:val="0024603B"/>
    <w:rsid w:val="00255343"/>
    <w:rsid w:val="0025602E"/>
    <w:rsid w:val="00271DA8"/>
    <w:rsid w:val="00293F8D"/>
    <w:rsid w:val="002B7DCB"/>
    <w:rsid w:val="002C574B"/>
    <w:rsid w:val="002C5DE8"/>
    <w:rsid w:val="002C7BEF"/>
    <w:rsid w:val="002D4E0F"/>
    <w:rsid w:val="002E2D67"/>
    <w:rsid w:val="002F4798"/>
    <w:rsid w:val="00300485"/>
    <w:rsid w:val="00303DFA"/>
    <w:rsid w:val="00335D98"/>
    <w:rsid w:val="00343551"/>
    <w:rsid w:val="00351C02"/>
    <w:rsid w:val="00356DDF"/>
    <w:rsid w:val="003621EC"/>
    <w:rsid w:val="00372B17"/>
    <w:rsid w:val="00373132"/>
    <w:rsid w:val="00383794"/>
    <w:rsid w:val="00383F0B"/>
    <w:rsid w:val="00384FE9"/>
    <w:rsid w:val="00396A15"/>
    <w:rsid w:val="003B463F"/>
    <w:rsid w:val="003B75DA"/>
    <w:rsid w:val="003C5FF4"/>
    <w:rsid w:val="003F02C2"/>
    <w:rsid w:val="00401154"/>
    <w:rsid w:val="00410968"/>
    <w:rsid w:val="00437555"/>
    <w:rsid w:val="00440AC6"/>
    <w:rsid w:val="00441891"/>
    <w:rsid w:val="00456F87"/>
    <w:rsid w:val="00474E4C"/>
    <w:rsid w:val="00481A77"/>
    <w:rsid w:val="00482AD2"/>
    <w:rsid w:val="00483D67"/>
    <w:rsid w:val="004A0DFE"/>
    <w:rsid w:val="004C379A"/>
    <w:rsid w:val="004D3D59"/>
    <w:rsid w:val="004E57C4"/>
    <w:rsid w:val="004F3AAF"/>
    <w:rsid w:val="00502EFD"/>
    <w:rsid w:val="00521057"/>
    <w:rsid w:val="00537B73"/>
    <w:rsid w:val="00547986"/>
    <w:rsid w:val="00550C09"/>
    <w:rsid w:val="00570963"/>
    <w:rsid w:val="00570A71"/>
    <w:rsid w:val="005744A0"/>
    <w:rsid w:val="00590DBD"/>
    <w:rsid w:val="005A253D"/>
    <w:rsid w:val="005A4BF8"/>
    <w:rsid w:val="005A60A7"/>
    <w:rsid w:val="005A6150"/>
    <w:rsid w:val="005B1FEA"/>
    <w:rsid w:val="005B5CF4"/>
    <w:rsid w:val="005D399A"/>
    <w:rsid w:val="005D48BA"/>
    <w:rsid w:val="005E037E"/>
    <w:rsid w:val="005E29D6"/>
    <w:rsid w:val="005E6930"/>
    <w:rsid w:val="00612BD5"/>
    <w:rsid w:val="00613C65"/>
    <w:rsid w:val="00614F7A"/>
    <w:rsid w:val="006268A5"/>
    <w:rsid w:val="00631CBD"/>
    <w:rsid w:val="00633D6E"/>
    <w:rsid w:val="00635AAA"/>
    <w:rsid w:val="006369B3"/>
    <w:rsid w:val="0066583F"/>
    <w:rsid w:val="0068524E"/>
    <w:rsid w:val="006A2B73"/>
    <w:rsid w:val="006A6914"/>
    <w:rsid w:val="006B5166"/>
    <w:rsid w:val="006C1D04"/>
    <w:rsid w:val="006E4ED5"/>
    <w:rsid w:val="006F08B5"/>
    <w:rsid w:val="006F57F4"/>
    <w:rsid w:val="00700828"/>
    <w:rsid w:val="00716D42"/>
    <w:rsid w:val="007177D1"/>
    <w:rsid w:val="0075396B"/>
    <w:rsid w:val="00794CA7"/>
    <w:rsid w:val="00796C3C"/>
    <w:rsid w:val="007B39CA"/>
    <w:rsid w:val="007B7145"/>
    <w:rsid w:val="007F4EAD"/>
    <w:rsid w:val="0081798C"/>
    <w:rsid w:val="008248E8"/>
    <w:rsid w:val="0082508E"/>
    <w:rsid w:val="00831D8D"/>
    <w:rsid w:val="008405BC"/>
    <w:rsid w:val="0084658C"/>
    <w:rsid w:val="00856F8B"/>
    <w:rsid w:val="00861863"/>
    <w:rsid w:val="00872219"/>
    <w:rsid w:val="00887BF0"/>
    <w:rsid w:val="0089601E"/>
    <w:rsid w:val="0089604E"/>
    <w:rsid w:val="00896340"/>
    <w:rsid w:val="00896D01"/>
    <w:rsid w:val="008B0D10"/>
    <w:rsid w:val="008B43C0"/>
    <w:rsid w:val="008B7103"/>
    <w:rsid w:val="008C194D"/>
    <w:rsid w:val="008D4AD9"/>
    <w:rsid w:val="008D7F1D"/>
    <w:rsid w:val="00917A70"/>
    <w:rsid w:val="00927D02"/>
    <w:rsid w:val="00934743"/>
    <w:rsid w:val="009369CA"/>
    <w:rsid w:val="0096123C"/>
    <w:rsid w:val="00971D92"/>
    <w:rsid w:val="00972D70"/>
    <w:rsid w:val="009941D3"/>
    <w:rsid w:val="009A0C8B"/>
    <w:rsid w:val="009A61A1"/>
    <w:rsid w:val="009C5B09"/>
    <w:rsid w:val="009C62CE"/>
    <w:rsid w:val="00A061EC"/>
    <w:rsid w:val="00A111BB"/>
    <w:rsid w:val="00A13EE4"/>
    <w:rsid w:val="00A14694"/>
    <w:rsid w:val="00A171FC"/>
    <w:rsid w:val="00A2086C"/>
    <w:rsid w:val="00A2373E"/>
    <w:rsid w:val="00A33DA5"/>
    <w:rsid w:val="00A41666"/>
    <w:rsid w:val="00A51B93"/>
    <w:rsid w:val="00A56DA3"/>
    <w:rsid w:val="00A57D14"/>
    <w:rsid w:val="00A77495"/>
    <w:rsid w:val="00A81A64"/>
    <w:rsid w:val="00A952F4"/>
    <w:rsid w:val="00AB2537"/>
    <w:rsid w:val="00AE754C"/>
    <w:rsid w:val="00B04876"/>
    <w:rsid w:val="00B22C38"/>
    <w:rsid w:val="00B40572"/>
    <w:rsid w:val="00B455AA"/>
    <w:rsid w:val="00B464FA"/>
    <w:rsid w:val="00B533A2"/>
    <w:rsid w:val="00B65634"/>
    <w:rsid w:val="00B66A4B"/>
    <w:rsid w:val="00B672A4"/>
    <w:rsid w:val="00B93567"/>
    <w:rsid w:val="00B94251"/>
    <w:rsid w:val="00BA0ED5"/>
    <w:rsid w:val="00BA44C8"/>
    <w:rsid w:val="00BB0DC6"/>
    <w:rsid w:val="00BB2846"/>
    <w:rsid w:val="00BD5F8A"/>
    <w:rsid w:val="00BE5505"/>
    <w:rsid w:val="00BE6E34"/>
    <w:rsid w:val="00C075C3"/>
    <w:rsid w:val="00C239AA"/>
    <w:rsid w:val="00C37D56"/>
    <w:rsid w:val="00C41127"/>
    <w:rsid w:val="00C43BDD"/>
    <w:rsid w:val="00C51409"/>
    <w:rsid w:val="00C727FF"/>
    <w:rsid w:val="00C74EFA"/>
    <w:rsid w:val="00C75249"/>
    <w:rsid w:val="00C75712"/>
    <w:rsid w:val="00C76637"/>
    <w:rsid w:val="00C8046B"/>
    <w:rsid w:val="00C85834"/>
    <w:rsid w:val="00CA092E"/>
    <w:rsid w:val="00CB7C07"/>
    <w:rsid w:val="00CC10E5"/>
    <w:rsid w:val="00CC750E"/>
    <w:rsid w:val="00D044BA"/>
    <w:rsid w:val="00D056A8"/>
    <w:rsid w:val="00D05E37"/>
    <w:rsid w:val="00D07DC7"/>
    <w:rsid w:val="00D14CA9"/>
    <w:rsid w:val="00D41161"/>
    <w:rsid w:val="00D550A9"/>
    <w:rsid w:val="00D71FA1"/>
    <w:rsid w:val="00D902B9"/>
    <w:rsid w:val="00DA179D"/>
    <w:rsid w:val="00DA65D4"/>
    <w:rsid w:val="00DC01C2"/>
    <w:rsid w:val="00DC0767"/>
    <w:rsid w:val="00DE27D0"/>
    <w:rsid w:val="00DE2D84"/>
    <w:rsid w:val="00DE3216"/>
    <w:rsid w:val="00DE38A5"/>
    <w:rsid w:val="00DE58B5"/>
    <w:rsid w:val="00DF3BF8"/>
    <w:rsid w:val="00DF4F01"/>
    <w:rsid w:val="00E27580"/>
    <w:rsid w:val="00E37FE7"/>
    <w:rsid w:val="00E40716"/>
    <w:rsid w:val="00E47643"/>
    <w:rsid w:val="00E663FB"/>
    <w:rsid w:val="00E81825"/>
    <w:rsid w:val="00E822D2"/>
    <w:rsid w:val="00E9327A"/>
    <w:rsid w:val="00EA0D98"/>
    <w:rsid w:val="00EB0CCB"/>
    <w:rsid w:val="00EC4850"/>
    <w:rsid w:val="00F22D9F"/>
    <w:rsid w:val="00F31ABA"/>
    <w:rsid w:val="00F42AD8"/>
    <w:rsid w:val="00F44A27"/>
    <w:rsid w:val="00F4532F"/>
    <w:rsid w:val="00F63502"/>
    <w:rsid w:val="00F66616"/>
    <w:rsid w:val="00F754AF"/>
    <w:rsid w:val="00F87248"/>
    <w:rsid w:val="00F87394"/>
    <w:rsid w:val="00F91C1B"/>
    <w:rsid w:val="00F9655C"/>
    <w:rsid w:val="00FA6BF4"/>
    <w:rsid w:val="00FC67B3"/>
    <w:rsid w:val="00FD5533"/>
    <w:rsid w:val="00FE0D65"/>
    <w:rsid w:val="00FE344F"/>
    <w:rsid w:val="00FE6046"/>
    <w:rsid w:val="00FE6ED5"/>
    <w:rsid w:val="00FF26D4"/>
    <w:rsid w:val="00FF332E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a">
    <w:name w:val="Hyperlink"/>
    <w:rsid w:val="00DE27D0"/>
    <w:rPr>
      <w:color w:val="0000FF"/>
      <w:u w:val="single"/>
    </w:rPr>
  </w:style>
  <w:style w:type="character" w:customStyle="1" w:styleId="ab">
    <w:name w:val="Основной текст_"/>
    <w:link w:val="4"/>
    <w:rsid w:val="00A33DA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A33DA5"/>
    <w:pPr>
      <w:widowControl w:val="0"/>
      <w:shd w:val="clear" w:color="auto" w:fill="FFFFFF"/>
      <w:spacing w:line="0" w:lineRule="atLeast"/>
      <w:jc w:val="center"/>
    </w:pPr>
    <w:rPr>
      <w:sz w:val="26"/>
      <w:szCs w:val="26"/>
    </w:rPr>
  </w:style>
  <w:style w:type="character" w:customStyle="1" w:styleId="20">
    <w:name w:val="Основной текст2"/>
    <w:rsid w:val="00A33DA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3"/>
    <w:rsid w:val="00A33DA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styleId="ac">
    <w:name w:val="annotation reference"/>
    <w:rsid w:val="00BB0DC6"/>
    <w:rPr>
      <w:sz w:val="16"/>
      <w:szCs w:val="16"/>
    </w:rPr>
  </w:style>
  <w:style w:type="paragraph" w:styleId="ad">
    <w:name w:val="annotation text"/>
    <w:basedOn w:val="a"/>
    <w:link w:val="ae"/>
    <w:rsid w:val="00BB0DC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B0DC6"/>
  </w:style>
  <w:style w:type="paragraph" w:styleId="af">
    <w:name w:val="annotation subject"/>
    <w:basedOn w:val="ad"/>
    <w:next w:val="ad"/>
    <w:link w:val="af0"/>
    <w:rsid w:val="00BB0DC6"/>
    <w:rPr>
      <w:b/>
      <w:bCs/>
    </w:rPr>
  </w:style>
  <w:style w:type="character" w:customStyle="1" w:styleId="af0">
    <w:name w:val="Тема примечания Знак"/>
    <w:link w:val="af"/>
    <w:rsid w:val="00BB0DC6"/>
    <w:rPr>
      <w:b/>
      <w:bCs/>
    </w:rPr>
  </w:style>
  <w:style w:type="paragraph" w:styleId="af1">
    <w:name w:val="endnote text"/>
    <w:basedOn w:val="a"/>
    <w:link w:val="af2"/>
    <w:rsid w:val="00E8182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E81825"/>
  </w:style>
  <w:style w:type="character" w:styleId="af3">
    <w:name w:val="endnote reference"/>
    <w:basedOn w:val="a0"/>
    <w:rsid w:val="00E81825"/>
    <w:rPr>
      <w:vertAlign w:val="superscript"/>
    </w:rPr>
  </w:style>
  <w:style w:type="paragraph" w:styleId="af4">
    <w:name w:val="footnote text"/>
    <w:basedOn w:val="a"/>
    <w:link w:val="af5"/>
    <w:rsid w:val="00E81825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E81825"/>
  </w:style>
  <w:style w:type="character" w:styleId="af6">
    <w:name w:val="footnote reference"/>
    <w:basedOn w:val="a0"/>
    <w:rsid w:val="00E81825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5D399A"/>
    <w:rPr>
      <w:sz w:val="24"/>
      <w:szCs w:val="24"/>
    </w:rPr>
  </w:style>
  <w:style w:type="paragraph" w:styleId="af7">
    <w:name w:val="List Paragraph"/>
    <w:basedOn w:val="a"/>
    <w:uiPriority w:val="34"/>
    <w:qFormat/>
    <w:rsid w:val="00F635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a">
    <w:name w:val="Hyperlink"/>
    <w:rsid w:val="00DE27D0"/>
    <w:rPr>
      <w:color w:val="0000FF"/>
      <w:u w:val="single"/>
    </w:rPr>
  </w:style>
  <w:style w:type="character" w:customStyle="1" w:styleId="ab">
    <w:name w:val="Основной текст_"/>
    <w:link w:val="4"/>
    <w:rsid w:val="00A33DA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A33DA5"/>
    <w:pPr>
      <w:widowControl w:val="0"/>
      <w:shd w:val="clear" w:color="auto" w:fill="FFFFFF"/>
      <w:spacing w:line="0" w:lineRule="atLeast"/>
      <w:jc w:val="center"/>
    </w:pPr>
    <w:rPr>
      <w:sz w:val="26"/>
      <w:szCs w:val="26"/>
    </w:rPr>
  </w:style>
  <w:style w:type="character" w:customStyle="1" w:styleId="20">
    <w:name w:val="Основной текст2"/>
    <w:rsid w:val="00A33DA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3"/>
    <w:rsid w:val="00A33DA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styleId="ac">
    <w:name w:val="annotation reference"/>
    <w:rsid w:val="00BB0DC6"/>
    <w:rPr>
      <w:sz w:val="16"/>
      <w:szCs w:val="16"/>
    </w:rPr>
  </w:style>
  <w:style w:type="paragraph" w:styleId="ad">
    <w:name w:val="annotation text"/>
    <w:basedOn w:val="a"/>
    <w:link w:val="ae"/>
    <w:rsid w:val="00BB0DC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B0DC6"/>
  </w:style>
  <w:style w:type="paragraph" w:styleId="af">
    <w:name w:val="annotation subject"/>
    <w:basedOn w:val="ad"/>
    <w:next w:val="ad"/>
    <w:link w:val="af0"/>
    <w:rsid w:val="00BB0DC6"/>
    <w:rPr>
      <w:b/>
      <w:bCs/>
    </w:rPr>
  </w:style>
  <w:style w:type="character" w:customStyle="1" w:styleId="af0">
    <w:name w:val="Тема примечания Знак"/>
    <w:link w:val="af"/>
    <w:rsid w:val="00BB0DC6"/>
    <w:rPr>
      <w:b/>
      <w:bCs/>
    </w:rPr>
  </w:style>
  <w:style w:type="paragraph" w:styleId="af1">
    <w:name w:val="endnote text"/>
    <w:basedOn w:val="a"/>
    <w:link w:val="af2"/>
    <w:rsid w:val="00E8182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E81825"/>
  </w:style>
  <w:style w:type="character" w:styleId="af3">
    <w:name w:val="endnote reference"/>
    <w:basedOn w:val="a0"/>
    <w:rsid w:val="00E81825"/>
    <w:rPr>
      <w:vertAlign w:val="superscript"/>
    </w:rPr>
  </w:style>
  <w:style w:type="paragraph" w:styleId="af4">
    <w:name w:val="footnote text"/>
    <w:basedOn w:val="a"/>
    <w:link w:val="af5"/>
    <w:rsid w:val="00E81825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E81825"/>
  </w:style>
  <w:style w:type="character" w:styleId="af6">
    <w:name w:val="footnote reference"/>
    <w:basedOn w:val="a0"/>
    <w:rsid w:val="00E81825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5D399A"/>
    <w:rPr>
      <w:sz w:val="24"/>
      <w:szCs w:val="24"/>
    </w:rPr>
  </w:style>
  <w:style w:type="paragraph" w:styleId="af7">
    <w:name w:val="List Paragraph"/>
    <w:basedOn w:val="a"/>
    <w:uiPriority w:val="34"/>
    <w:qFormat/>
    <w:rsid w:val="00F635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A0AF4-ED79-4B8F-A460-147DDF8F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4079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27281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Рожен</dc:creator>
  <cp:lastModifiedBy>Галина Сергеевна Маркелова</cp:lastModifiedBy>
  <cp:revision>3</cp:revision>
  <cp:lastPrinted>2019-03-06T08:49:00Z</cp:lastPrinted>
  <dcterms:created xsi:type="dcterms:W3CDTF">2021-05-26T10:18:00Z</dcterms:created>
  <dcterms:modified xsi:type="dcterms:W3CDTF">2021-05-26T10:19:00Z</dcterms:modified>
</cp:coreProperties>
</file>